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C27B40D" w:rsidR="00A160B2" w:rsidRDefault="006F1291" w:rsidP="00A160B2">
      <w:pPr>
        <w:spacing w:after="480"/>
      </w:pPr>
      <w:r>
        <w:rPr>
          <w:noProof/>
        </w:rPr>
        <w:drawing>
          <wp:inline distT="0" distB="0" distL="0" distR="0" wp14:anchorId="1A334804" wp14:editId="3C5E8D82">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4921" w:type="dxa"/>
            <w:tcBorders>
              <w:bottom w:val="single" w:sz="18" w:space="0" w:color="auto"/>
            </w:tcBorders>
          </w:tcPr>
          <w:p w14:paraId="6DC7420A" w14:textId="77777777" w:rsidR="00FA69B3" w:rsidRDefault="00FA69B3" w:rsidP="00FA69B3">
            <w:pPr>
              <w:pStyle w:val="Heading1"/>
            </w:pPr>
            <w:r>
              <w:t>Governance, Audit,</w:t>
            </w:r>
          </w:p>
          <w:p w14:paraId="103D6E26" w14:textId="77777777" w:rsidR="00FA69B3" w:rsidRDefault="00FA69B3" w:rsidP="00FA69B3">
            <w:pPr>
              <w:pStyle w:val="Heading1"/>
            </w:pPr>
            <w:r>
              <w:t>Risk Management and</w:t>
            </w:r>
          </w:p>
          <w:p w14:paraId="55A88F66" w14:textId="1FB76CAB" w:rsidR="00A160B2" w:rsidRPr="00A160B2" w:rsidRDefault="00FA69B3" w:rsidP="00FA69B3">
            <w:pPr>
              <w:pStyle w:val="Heading1"/>
              <w:rPr>
                <w:color w:val="0000FF"/>
                <w:szCs w:val="24"/>
              </w:rPr>
            </w:pPr>
            <w:r>
              <w:t>Standards Committee</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0D4E6789" w:rsidR="00A160B2" w:rsidRDefault="00FA69B3" w:rsidP="006C3150">
            <w:pPr>
              <w:pStyle w:val="Infotext"/>
              <w:rPr>
                <w:rFonts w:cs="Arial"/>
              </w:rPr>
            </w:pPr>
            <w:r>
              <w:rPr>
                <w:rFonts w:cs="Arial"/>
              </w:rPr>
              <w:t>29 November 2023</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786490D2" w14:textId="4DF10FEC" w:rsidR="00A160B2" w:rsidRDefault="009F526F" w:rsidP="006C3150">
            <w:pPr>
              <w:pStyle w:val="Infotext"/>
              <w:rPr>
                <w:rFonts w:cs="Arial"/>
              </w:rPr>
            </w:pPr>
            <w:r>
              <w:rPr>
                <w:rFonts w:cs="Arial"/>
              </w:rPr>
              <w:t xml:space="preserve">Annual Complaints report </w:t>
            </w:r>
            <w:r w:rsidR="00F04BDB">
              <w:rPr>
                <w:rFonts w:cs="Arial"/>
              </w:rPr>
              <w:t xml:space="preserve">and update on </w:t>
            </w:r>
            <w:r w:rsidR="00E72F91">
              <w:rPr>
                <w:rFonts w:cs="Arial"/>
              </w:rPr>
              <w:t xml:space="preserve">complaints against </w:t>
            </w:r>
            <w:r w:rsidR="00033C98">
              <w:rPr>
                <w:rFonts w:cs="Arial"/>
              </w:rPr>
              <w:t>M</w:t>
            </w:r>
            <w:r w:rsidR="00E72F91">
              <w:rPr>
                <w:rFonts w:cs="Arial"/>
              </w:rPr>
              <w:t>embers 2022/23</w:t>
            </w:r>
          </w:p>
          <w:p w14:paraId="5914456E" w14:textId="7BFEC8A6" w:rsidR="00E72F91" w:rsidRDefault="00E72F91"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F5E9E70" w14:textId="15C144BF" w:rsidR="00DD4FD7" w:rsidRDefault="00076FD3" w:rsidP="006C3150">
            <w:pPr>
              <w:pStyle w:val="Infotext"/>
              <w:rPr>
                <w:rFonts w:cs="Arial"/>
              </w:rPr>
            </w:pPr>
            <w:r>
              <w:rPr>
                <w:rFonts w:cs="Arial"/>
              </w:rPr>
              <w:t>Jessica Farmer</w:t>
            </w:r>
          </w:p>
          <w:p w14:paraId="63C5F91B" w14:textId="2AE036A9" w:rsidR="00A160B2" w:rsidRDefault="002F5536" w:rsidP="006C3150">
            <w:pPr>
              <w:pStyle w:val="Infotext"/>
              <w:rPr>
                <w:rFonts w:cs="Arial"/>
              </w:rPr>
            </w:pPr>
            <w:r>
              <w:rPr>
                <w:rFonts w:cs="Arial"/>
              </w:rPr>
              <w:t xml:space="preserve">Interim </w:t>
            </w:r>
            <w:r w:rsidR="008153B6">
              <w:rPr>
                <w:rFonts w:cs="Arial"/>
              </w:rPr>
              <w:t>Director of Legal &amp; Governance</w:t>
            </w:r>
            <w:r w:rsidR="004534DE">
              <w:rPr>
                <w:rFonts w:cs="Arial"/>
              </w:rPr>
              <w:t xml:space="preserve"> and Monitoring Officer</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6901D45D" w:rsidR="00A160B2" w:rsidRDefault="00A160B2" w:rsidP="006C3150">
            <w:pPr>
              <w:pStyle w:val="Infotext"/>
              <w:rPr>
                <w:rFonts w:cs="Arial"/>
              </w:rPr>
            </w:pPr>
            <w:r>
              <w:rPr>
                <w:rFonts w:cs="Arial"/>
              </w:rPr>
              <w:t>No</w:t>
            </w:r>
          </w:p>
          <w:p w14:paraId="4C873B59" w14:textId="77777777" w:rsidR="00A160B2" w:rsidRDefault="00A160B2" w:rsidP="000C07DD">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45E86BF8" w:rsidR="00A160B2" w:rsidRDefault="000C07DD" w:rsidP="000C07DD">
            <w:pPr>
              <w:pStyle w:val="Infotext"/>
            </w:pPr>
            <w:r>
              <w:rPr>
                <w:rFonts w:cs="Arial"/>
                <w:szCs w:val="24"/>
              </w:rPr>
              <w:t>All</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1DC40A09" w14:textId="77777777" w:rsidR="00A160B2" w:rsidRDefault="004E6AF5" w:rsidP="006C3150">
            <w:pPr>
              <w:pStyle w:val="Infotext"/>
            </w:pPr>
            <w:r>
              <w:t xml:space="preserve">Appendix A </w:t>
            </w:r>
            <w:r w:rsidR="00595398">
              <w:t>–</w:t>
            </w:r>
            <w:r w:rsidR="00EE3D74">
              <w:t xml:space="preserve"> </w:t>
            </w:r>
            <w:r w:rsidR="00595398">
              <w:t>Corporate Complaints policy</w:t>
            </w:r>
          </w:p>
          <w:p w14:paraId="178FED96" w14:textId="77777777" w:rsidR="00595398" w:rsidRDefault="00595398" w:rsidP="006C3150">
            <w:pPr>
              <w:pStyle w:val="Infotext"/>
            </w:pPr>
          </w:p>
          <w:p w14:paraId="3A4ED571" w14:textId="36043194" w:rsidR="008870D2" w:rsidRDefault="00595398" w:rsidP="008870D2">
            <w:pPr>
              <w:pStyle w:val="Infotext"/>
            </w:pPr>
            <w:r>
              <w:t>Appendix B – A</w:t>
            </w:r>
            <w:r w:rsidR="008870D2">
              <w:t>nnual review letter</w:t>
            </w:r>
          </w:p>
          <w:p w14:paraId="7D5F23F8" w14:textId="77777777" w:rsidR="008870D2" w:rsidRDefault="008870D2" w:rsidP="008870D2">
            <w:pPr>
              <w:pStyle w:val="Infotext"/>
            </w:pPr>
            <w:r>
              <w:t>from Local Government and Social</w:t>
            </w:r>
          </w:p>
          <w:p w14:paraId="45F3CBB7" w14:textId="77777777" w:rsidR="008870D2" w:rsidRDefault="008870D2" w:rsidP="008870D2">
            <w:pPr>
              <w:pStyle w:val="Infotext"/>
            </w:pPr>
            <w:r>
              <w:t>Care Ombudsman for year ending</w:t>
            </w:r>
          </w:p>
          <w:p w14:paraId="34EA52F1" w14:textId="77777777" w:rsidR="008870D2" w:rsidRDefault="008870D2" w:rsidP="008870D2">
            <w:pPr>
              <w:pStyle w:val="Infotext"/>
            </w:pPr>
            <w:r>
              <w:t>31/3/23</w:t>
            </w:r>
          </w:p>
          <w:p w14:paraId="785353A9" w14:textId="77777777" w:rsidR="008870D2" w:rsidRDefault="008870D2" w:rsidP="008870D2">
            <w:pPr>
              <w:pStyle w:val="Infotext"/>
            </w:pPr>
          </w:p>
          <w:p w14:paraId="4C232B02" w14:textId="1C7CBC5F" w:rsidR="00595398" w:rsidRDefault="008870D2" w:rsidP="008870D2">
            <w:pPr>
              <w:pStyle w:val="Infotext"/>
            </w:pPr>
            <w:r>
              <w:cr/>
            </w:r>
            <w:r w:rsidR="00595398">
              <w:t xml:space="preserve"> </w:t>
            </w:r>
          </w:p>
        </w:tc>
      </w:tr>
    </w:tbl>
    <w:p w14:paraId="18A939CB" w14:textId="7259CE31" w:rsidR="007855AE" w:rsidRDefault="007855AE"/>
    <w:p w14:paraId="2FF7D95E" w14:textId="77777777" w:rsidR="00EE3D74" w:rsidRDefault="00EE3D74">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6DF6CBDD" w:rsidR="00A160B2" w:rsidRDefault="00A160B2" w:rsidP="00731907">
            <w:pPr>
              <w:pStyle w:val="Heading2"/>
              <w:spacing w:before="240" w:after="240"/>
              <w:ind w:left="-105"/>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0D6BA376" w14:textId="77777777" w:rsidR="00F22B40" w:rsidRDefault="00F22B40" w:rsidP="00F22B40">
            <w:pPr>
              <w:rPr>
                <w:color w:val="0000FF"/>
              </w:rPr>
            </w:pPr>
          </w:p>
          <w:p w14:paraId="2C9E4A81" w14:textId="6D2A8BBF" w:rsidR="00A160B2" w:rsidRPr="006A477D" w:rsidRDefault="0070242A" w:rsidP="00731907">
            <w:pPr>
              <w:ind w:left="-105"/>
              <w:rPr>
                <w:rFonts w:ascii="Arial Bold" w:hAnsi="Arial Bold"/>
                <w:b/>
                <w:sz w:val="28"/>
              </w:rPr>
            </w:pPr>
            <w:r>
              <w:t xml:space="preserve">1.1 </w:t>
            </w:r>
            <w:r w:rsidR="00F22B40" w:rsidRPr="00D05CF8">
              <w:t>This report is</w:t>
            </w:r>
            <w:r w:rsidR="006A477D" w:rsidRPr="00D05CF8">
              <w:t xml:space="preserve"> an overview of </w:t>
            </w:r>
            <w:r w:rsidR="000B56C9" w:rsidRPr="00D05CF8">
              <w:t>complaints received throughout 2022-</w:t>
            </w:r>
            <w:r w:rsidR="000B56C9" w:rsidRPr="00A11F98">
              <w:t>23</w:t>
            </w:r>
            <w:r w:rsidR="0035554F">
              <w:t xml:space="preserve"> and complaints against councillors for this period.</w:t>
            </w:r>
            <w:r w:rsidR="000B56C9" w:rsidRPr="00A11F98">
              <w:t xml:space="preserve"> </w:t>
            </w:r>
            <w:r w:rsidR="00E7703D" w:rsidRPr="00A11F98">
              <w:t xml:space="preserve">It will </w:t>
            </w:r>
            <w:r w:rsidR="00993CE9" w:rsidRPr="00A11F98">
              <w:t>identify themes where work is ongoing to improve the Customer Experience</w:t>
            </w:r>
            <w:r w:rsidR="00003F48" w:rsidRPr="00A11F98">
              <w:t xml:space="preserve"> lessons learn</w:t>
            </w:r>
            <w:r w:rsidR="00455C80" w:rsidRPr="00A11F98">
              <w:t>ed</w:t>
            </w:r>
            <w:r w:rsidR="00A11F98" w:rsidRPr="00A11F98">
              <w:t xml:space="preserve"> that have helped</w:t>
            </w:r>
            <w:r w:rsidR="00003F48" w:rsidRPr="00A11F98">
              <w:t xml:space="preserve"> </w:t>
            </w:r>
            <w:r w:rsidR="00DF62A8" w:rsidRPr="00A11F98">
              <w:t>to improve Council services</w:t>
            </w:r>
            <w:r w:rsidR="00455C80" w:rsidRPr="00A11F98">
              <w:t>.</w:t>
            </w:r>
            <w:r w:rsidR="00CA379B">
              <w:t xml:space="preserve">  </w:t>
            </w:r>
            <w:r w:rsidR="00F22B40" w:rsidRPr="00A11F98">
              <w:t>The report updates the</w:t>
            </w:r>
            <w:r w:rsidR="00455C80" w:rsidRPr="00A11F98">
              <w:t xml:space="preserve"> </w:t>
            </w:r>
            <w:r w:rsidR="00F22B40" w:rsidRPr="00A11F98">
              <w:t>Committee and summarises data in a number</w:t>
            </w:r>
            <w:r w:rsidR="003D7A69">
              <w:t xml:space="preserve"> </w:t>
            </w:r>
            <w:r w:rsidR="00F22B40" w:rsidRPr="00A11F98">
              <w:t xml:space="preserve">of </w:t>
            </w:r>
            <w:r w:rsidR="00F22B40" w:rsidRPr="006A477D">
              <w:t>areas.</w:t>
            </w:r>
            <w:r w:rsidR="0035554F">
              <w:t xml:space="preserve"> </w:t>
            </w:r>
          </w:p>
          <w:p w14:paraId="1761016F" w14:textId="77777777" w:rsidR="00F22B40" w:rsidRDefault="00F22B40" w:rsidP="00A160B2">
            <w:pPr>
              <w:rPr>
                <w:rFonts w:ascii="Arial Bold" w:hAnsi="Arial Bold"/>
                <w:b/>
                <w:sz w:val="28"/>
              </w:rPr>
            </w:pPr>
          </w:p>
          <w:p w14:paraId="4F9D0A08" w14:textId="15AECB57" w:rsidR="00A160B2" w:rsidRPr="00A160B2" w:rsidRDefault="0070242A" w:rsidP="00731907">
            <w:pPr>
              <w:ind w:left="-105"/>
              <w:rPr>
                <w:rFonts w:ascii="Arial Bold" w:hAnsi="Arial Bold"/>
                <w:b/>
                <w:sz w:val="28"/>
              </w:rPr>
            </w:pPr>
            <w:r>
              <w:rPr>
                <w:rFonts w:ascii="Arial Bold" w:hAnsi="Arial Bold"/>
                <w:b/>
                <w:sz w:val="28"/>
              </w:rPr>
              <w:t xml:space="preserve">1.2 </w:t>
            </w:r>
            <w:r w:rsidR="00A160B2" w:rsidRPr="00A160B2">
              <w:rPr>
                <w:rFonts w:ascii="Arial Bold" w:hAnsi="Arial Bold"/>
                <w:b/>
                <w:sz w:val="28"/>
              </w:rPr>
              <w:t xml:space="preserve">Recommendations: </w:t>
            </w:r>
          </w:p>
          <w:p w14:paraId="5E4CE681" w14:textId="77777777" w:rsidR="00DA10A5" w:rsidRDefault="00DA10A5" w:rsidP="00A160B2"/>
          <w:p w14:paraId="714CBDEE" w14:textId="0560669A" w:rsidR="00A160B2" w:rsidRDefault="00DA10A5" w:rsidP="00731907">
            <w:pPr>
              <w:ind w:left="-105"/>
            </w:pPr>
            <w:r w:rsidRPr="00DA10A5">
              <w:t>The Committee is requested to note the information in the report.</w:t>
            </w:r>
          </w:p>
        </w:tc>
      </w:tr>
    </w:tbl>
    <w:p w14:paraId="53DC7DE2" w14:textId="77777777" w:rsidR="002A2389" w:rsidRDefault="002A2389" w:rsidP="00A160B2">
      <w:pPr>
        <w:pStyle w:val="Heading2"/>
      </w:pPr>
      <w:r>
        <w:t>Section 2 – Report</w:t>
      </w:r>
    </w:p>
    <w:p w14:paraId="73FD97F5" w14:textId="77777777" w:rsidR="00B072FF" w:rsidRDefault="0070242A" w:rsidP="003D2FFE">
      <w:pPr>
        <w:spacing w:before="240"/>
        <w:rPr>
          <w:rFonts w:ascii="Arial Bold" w:hAnsi="Arial Bold"/>
          <w:b/>
          <w:sz w:val="28"/>
        </w:rPr>
      </w:pPr>
      <w:r>
        <w:rPr>
          <w:rFonts w:ascii="Arial Bold" w:hAnsi="Arial Bold"/>
          <w:b/>
          <w:sz w:val="28"/>
        </w:rPr>
        <w:t xml:space="preserve">2.1 </w:t>
      </w:r>
      <w:r w:rsidR="002A2389" w:rsidRPr="00B14D5E">
        <w:rPr>
          <w:rFonts w:ascii="Arial Bold" w:hAnsi="Arial Bold"/>
          <w:b/>
          <w:sz w:val="28"/>
        </w:rPr>
        <w:t xml:space="preserve">Background </w:t>
      </w:r>
    </w:p>
    <w:p w14:paraId="52FDED83" w14:textId="3243F43D" w:rsidR="00255442" w:rsidRPr="00B14D5E" w:rsidRDefault="00255442" w:rsidP="003D2FFE">
      <w:pPr>
        <w:spacing w:before="240"/>
        <w:rPr>
          <w:rFonts w:ascii="Arial Bold" w:hAnsi="Arial Bold"/>
          <w:b/>
          <w:sz w:val="28"/>
        </w:rPr>
      </w:pPr>
      <w:r>
        <w:rPr>
          <w:rFonts w:ascii="Arial Bold" w:hAnsi="Arial Bold"/>
          <w:b/>
          <w:sz w:val="28"/>
        </w:rPr>
        <w:t>Customer complaints</w:t>
      </w:r>
    </w:p>
    <w:p w14:paraId="67B440D4" w14:textId="42D7D046" w:rsidR="00D53399" w:rsidRDefault="008344D9" w:rsidP="003D2FFE">
      <w:pPr>
        <w:spacing w:before="240"/>
      </w:pPr>
      <w:r w:rsidRPr="00216321">
        <w:t xml:space="preserve">In July 2022 </w:t>
      </w:r>
      <w:r w:rsidR="002870D1" w:rsidRPr="00216321">
        <w:t xml:space="preserve">Cabinet approved an action plan to improve the customer experience.  </w:t>
      </w:r>
      <w:r w:rsidR="001970EC" w:rsidRPr="00216321">
        <w:t xml:space="preserve">As part of this programme of work </w:t>
      </w:r>
      <w:r w:rsidR="00012104" w:rsidRPr="00216321">
        <w:t xml:space="preserve">the </w:t>
      </w:r>
      <w:r w:rsidR="00D53399" w:rsidRPr="00216321">
        <w:t xml:space="preserve">Corporate </w:t>
      </w:r>
      <w:r w:rsidR="00307EBC" w:rsidRPr="00216321">
        <w:t>Complaints policy</w:t>
      </w:r>
      <w:r w:rsidR="00D53399" w:rsidRPr="00216321">
        <w:t xml:space="preserve"> was reviewed and adopted </w:t>
      </w:r>
      <w:r w:rsidR="00307EBC" w:rsidRPr="00216321">
        <w:t>by Cabinet in June 20</w:t>
      </w:r>
      <w:r w:rsidR="008701A5" w:rsidRPr="00216321">
        <w:t>23</w:t>
      </w:r>
      <w:r w:rsidR="00D53399" w:rsidRPr="00216321">
        <w:t xml:space="preserve">. A copy of the policy </w:t>
      </w:r>
      <w:r w:rsidR="00216321" w:rsidRPr="00216321">
        <w:t xml:space="preserve">is attached to this report as </w:t>
      </w:r>
      <w:r w:rsidR="00C16F60">
        <w:t>A</w:t>
      </w:r>
      <w:r w:rsidR="00155E58" w:rsidRPr="00216321">
        <w:t xml:space="preserve">ppendix A </w:t>
      </w:r>
    </w:p>
    <w:p w14:paraId="03AC32F4" w14:textId="2AA9C3D0" w:rsidR="006E26A1" w:rsidRPr="00216321" w:rsidRDefault="004D4866" w:rsidP="003D2FFE">
      <w:pPr>
        <w:spacing w:before="240"/>
      </w:pPr>
      <w:r>
        <w:t>Most</w:t>
      </w:r>
      <w:r w:rsidR="006E26A1">
        <w:t xml:space="preserve"> </w:t>
      </w:r>
      <w:r w:rsidR="00D001C9">
        <w:t xml:space="preserve">Council services run </w:t>
      </w:r>
      <w:r w:rsidR="001C6190">
        <w:t>well,</w:t>
      </w:r>
      <w:r w:rsidR="00D001C9">
        <w:t xml:space="preserve"> and any issues are resolved locally without any further action.  </w:t>
      </w:r>
      <w:r w:rsidR="0035169F">
        <w:t xml:space="preserve">If the citizen remains unhappy </w:t>
      </w:r>
      <w:r w:rsidR="001C6190">
        <w:t>then they can make a formal complaint.</w:t>
      </w:r>
    </w:p>
    <w:p w14:paraId="6C4F832B" w14:textId="380F87E7" w:rsidR="004C4E72" w:rsidRPr="00BC6A06" w:rsidRDefault="00365A0E" w:rsidP="003D2FFE">
      <w:pPr>
        <w:spacing w:before="240"/>
      </w:pPr>
      <w:r w:rsidRPr="00BC6A06">
        <w:t xml:space="preserve">The Council has a two stage complaints process.  A complaint will be reviewed </w:t>
      </w:r>
      <w:r w:rsidR="003738BA" w:rsidRPr="00BC6A06">
        <w:t>with a response due within fifteen working days</w:t>
      </w:r>
      <w:r w:rsidR="00777A61" w:rsidRPr="00BC6A06">
        <w:t xml:space="preserve"> under stage I</w:t>
      </w:r>
      <w:r w:rsidR="0069433A" w:rsidRPr="00BC6A06">
        <w:t xml:space="preserve"> and </w:t>
      </w:r>
      <w:r w:rsidR="000947D3" w:rsidRPr="00BC6A06">
        <w:t xml:space="preserve">if dissatisfied </w:t>
      </w:r>
      <w:r w:rsidR="006546B1" w:rsidRPr="00BC6A06">
        <w:t xml:space="preserve">with the outcome </w:t>
      </w:r>
      <w:r w:rsidR="000947D3" w:rsidRPr="00BC6A06">
        <w:t xml:space="preserve">the </w:t>
      </w:r>
      <w:r w:rsidR="003738BA" w:rsidRPr="00BC6A06">
        <w:t xml:space="preserve">complainant </w:t>
      </w:r>
      <w:r w:rsidR="000947D3" w:rsidRPr="00BC6A06">
        <w:t xml:space="preserve">can request that </w:t>
      </w:r>
      <w:r w:rsidR="006546B1" w:rsidRPr="00BC6A06">
        <w:t xml:space="preserve">it </w:t>
      </w:r>
      <w:r w:rsidR="00BC2AE2" w:rsidRPr="00BC6A06">
        <w:t xml:space="preserve">moves to </w:t>
      </w:r>
      <w:r w:rsidR="00777A61" w:rsidRPr="00BC6A06">
        <w:t xml:space="preserve">stage II.  A more senior officer will review the complaint and initial response </w:t>
      </w:r>
      <w:r w:rsidR="004A1B11" w:rsidRPr="00BC6A06">
        <w:t xml:space="preserve">before replying within twenty working days.  The Council’s process ends at this point and </w:t>
      </w:r>
      <w:r w:rsidR="00BC6A06" w:rsidRPr="00BC6A06">
        <w:t xml:space="preserve">any further appeal </w:t>
      </w:r>
      <w:r w:rsidR="00B938A7">
        <w:t xml:space="preserve">may be </w:t>
      </w:r>
      <w:r w:rsidR="00BC6A06" w:rsidRPr="00BC6A06">
        <w:t>made to the Local Government &amp; Social Care Ombudsman.</w:t>
      </w:r>
      <w:r w:rsidR="002F1A11">
        <w:t xml:space="preserve"> </w:t>
      </w:r>
    </w:p>
    <w:p w14:paraId="4B6FE321" w14:textId="1DCB9CD2" w:rsidR="004C4E72" w:rsidRPr="00956217" w:rsidRDefault="003E3C60" w:rsidP="003E3C60">
      <w:pPr>
        <w:spacing w:before="240"/>
      </w:pPr>
      <w:r w:rsidRPr="003E3C60">
        <w:t>The Local Government and Social Care</w:t>
      </w:r>
      <w:r w:rsidR="00FA375A">
        <w:t xml:space="preserve"> </w:t>
      </w:r>
      <w:r w:rsidRPr="003E3C60">
        <w:t>Ombudsman investigates individual</w:t>
      </w:r>
      <w:r w:rsidR="00F11982">
        <w:t xml:space="preserve"> </w:t>
      </w:r>
      <w:r w:rsidRPr="003E3C60">
        <w:t>complaints about councils</w:t>
      </w:r>
      <w:r w:rsidR="00EA7386">
        <w:t xml:space="preserve"> and h</w:t>
      </w:r>
      <w:r w:rsidRPr="003E3C60">
        <w:t>elp to make sure these organisations are</w:t>
      </w:r>
      <w:r w:rsidR="00255A60">
        <w:t xml:space="preserve"> </w:t>
      </w:r>
      <w:r w:rsidRPr="003E3C60">
        <w:t>accountable to their service users, by ensuring</w:t>
      </w:r>
      <w:r w:rsidR="00255A60">
        <w:t xml:space="preserve"> </w:t>
      </w:r>
      <w:r w:rsidRPr="003E3C60">
        <w:t>they put things right if things have gone wrong.</w:t>
      </w:r>
      <w:r w:rsidR="00EA7386">
        <w:t xml:space="preserve"> </w:t>
      </w:r>
      <w:r w:rsidR="00510D4E">
        <w:t xml:space="preserve"> The LGSCO do not investigate a complaint until the </w:t>
      </w:r>
      <w:r w:rsidRPr="003E3C60">
        <w:t>organisation concerned has been given the</w:t>
      </w:r>
      <w:r w:rsidR="00956217">
        <w:t xml:space="preserve"> </w:t>
      </w:r>
      <w:r w:rsidRPr="003E3C60">
        <w:t>chance to respond.</w:t>
      </w:r>
      <w:r w:rsidR="00956217">
        <w:t xml:space="preserve">  </w:t>
      </w:r>
    </w:p>
    <w:p w14:paraId="1E2A175A" w14:textId="2237D61B" w:rsidR="0027036A" w:rsidRPr="006E26A1" w:rsidRDefault="00DD633A" w:rsidP="003D2FFE">
      <w:pPr>
        <w:spacing w:before="240"/>
      </w:pPr>
      <w:r w:rsidRPr="006E26A1">
        <w:t xml:space="preserve">Each year the Local Government &amp; Social Care Ombudsman produce an </w:t>
      </w:r>
      <w:r w:rsidR="0027036A" w:rsidRPr="006E26A1">
        <w:t xml:space="preserve">annual report outlining </w:t>
      </w:r>
      <w:r w:rsidR="005849EE" w:rsidRPr="006E26A1">
        <w:t>the complaints received</w:t>
      </w:r>
      <w:r w:rsidR="003738BA" w:rsidRPr="006E26A1">
        <w:t xml:space="preserve"> about </w:t>
      </w:r>
      <w:r w:rsidR="00BC6A06" w:rsidRPr="006E26A1">
        <w:t>a Local Authority</w:t>
      </w:r>
      <w:r w:rsidR="00755275" w:rsidRPr="006E26A1">
        <w:t>.  The annual</w:t>
      </w:r>
      <w:r w:rsidR="00C84C6F" w:rsidRPr="006E26A1">
        <w:t xml:space="preserve"> Harrow</w:t>
      </w:r>
      <w:r w:rsidR="00755275" w:rsidRPr="006E26A1">
        <w:t xml:space="preserve"> report for 2022</w:t>
      </w:r>
      <w:r w:rsidR="00C84C6F" w:rsidRPr="006E26A1">
        <w:t xml:space="preserve">-23 is attached </w:t>
      </w:r>
      <w:r w:rsidR="006E26A1" w:rsidRPr="006E26A1">
        <w:t xml:space="preserve">to this report as </w:t>
      </w:r>
      <w:r w:rsidR="006143E2">
        <w:t>A</w:t>
      </w:r>
      <w:r w:rsidR="006E26A1" w:rsidRPr="006E26A1">
        <w:t>ppendix B</w:t>
      </w:r>
    </w:p>
    <w:p w14:paraId="1A4C31B9" w14:textId="19C04D3F" w:rsidR="00317AE6" w:rsidRDefault="00317AE6" w:rsidP="00317AE6">
      <w:pPr>
        <w:spacing w:before="240"/>
      </w:pPr>
      <w:r>
        <w:t xml:space="preserve">Complaints data is captured </w:t>
      </w:r>
      <w:r w:rsidR="00321052">
        <w:t xml:space="preserve">by individual services which is shared </w:t>
      </w:r>
      <w:r w:rsidR="00E02CEC">
        <w:t>with the Corporate Complaints officer on a quarterly basis.</w:t>
      </w:r>
    </w:p>
    <w:p w14:paraId="47AC1328" w14:textId="77777777" w:rsidR="007440C9" w:rsidRDefault="007440C9" w:rsidP="00317AE6">
      <w:pPr>
        <w:spacing w:before="240"/>
        <w:rPr>
          <w:b/>
          <w:bCs/>
          <w:sz w:val="28"/>
          <w:szCs w:val="28"/>
        </w:rPr>
      </w:pPr>
    </w:p>
    <w:p w14:paraId="5C8405D7" w14:textId="43BD13C4" w:rsidR="00F05A24" w:rsidRPr="00DC32ED" w:rsidRDefault="007440C9" w:rsidP="00317AE6">
      <w:pPr>
        <w:spacing w:before="240"/>
        <w:rPr>
          <w:b/>
          <w:bCs/>
          <w:sz w:val="28"/>
          <w:szCs w:val="28"/>
        </w:rPr>
      </w:pPr>
      <w:r>
        <w:rPr>
          <w:b/>
          <w:bCs/>
          <w:sz w:val="28"/>
          <w:szCs w:val="28"/>
        </w:rPr>
        <w:lastRenderedPageBreak/>
        <w:t xml:space="preserve">2.2 </w:t>
      </w:r>
      <w:r w:rsidR="00DB077C" w:rsidRPr="00DC32ED">
        <w:rPr>
          <w:b/>
          <w:bCs/>
          <w:sz w:val="28"/>
          <w:szCs w:val="28"/>
        </w:rPr>
        <w:t xml:space="preserve">Complaints about elected members </w:t>
      </w:r>
    </w:p>
    <w:p w14:paraId="4DB75186" w14:textId="77777777" w:rsidR="00B072FF" w:rsidRDefault="00B072FF" w:rsidP="00BF089E">
      <w:pPr>
        <w:contextualSpacing/>
        <w:jc w:val="both"/>
        <w:outlineLvl w:val="0"/>
        <w:rPr>
          <w:b/>
          <w:bCs/>
        </w:rPr>
      </w:pPr>
    </w:p>
    <w:p w14:paraId="062F5DA1" w14:textId="62BB7D00" w:rsidR="00476207" w:rsidRDefault="00F05A24" w:rsidP="00BF089E">
      <w:pPr>
        <w:contextualSpacing/>
        <w:jc w:val="both"/>
        <w:outlineLvl w:val="0"/>
        <w:rPr>
          <w:rFonts w:cs="Arial"/>
          <w:szCs w:val="24"/>
        </w:rPr>
      </w:pPr>
      <w:r w:rsidRPr="00F05A24">
        <w:rPr>
          <w:szCs w:val="24"/>
        </w:rPr>
        <w:t>It is important that members have an overview of complaints received against elected members and any trends.</w:t>
      </w:r>
      <w:r w:rsidRPr="00F05A24">
        <w:rPr>
          <w:bCs/>
          <w:iCs/>
          <w:szCs w:val="24"/>
        </w:rPr>
        <w:t xml:space="preserve"> </w:t>
      </w:r>
      <w:r w:rsidR="00962EFE">
        <w:rPr>
          <w:bCs/>
          <w:iCs/>
          <w:szCs w:val="24"/>
        </w:rPr>
        <w:t xml:space="preserve">This report will </w:t>
      </w:r>
      <w:r w:rsidRPr="00962EFE">
        <w:rPr>
          <w:szCs w:val="24"/>
        </w:rPr>
        <w:t>enable the council to</w:t>
      </w:r>
      <w:r w:rsidRPr="00DA0B4F">
        <w:rPr>
          <w:rFonts w:cs="Arial"/>
          <w:szCs w:val="24"/>
        </w:rPr>
        <w:t xml:space="preserve"> discharge its duty to promote and maintain high standards of conduct for Members; review the application of the Code of Conduct for Members’; and maintain an overview on ethical standards in general across the authority.</w:t>
      </w:r>
    </w:p>
    <w:p w14:paraId="22A119B8" w14:textId="77777777" w:rsidR="00476207" w:rsidRDefault="00476207" w:rsidP="00BF089E">
      <w:pPr>
        <w:contextualSpacing/>
        <w:jc w:val="both"/>
        <w:outlineLvl w:val="0"/>
        <w:rPr>
          <w:rFonts w:cs="Arial"/>
          <w:szCs w:val="24"/>
        </w:rPr>
      </w:pPr>
    </w:p>
    <w:p w14:paraId="72D34A37" w14:textId="1F4EB38A" w:rsidR="002A2389" w:rsidRPr="00B14D5E" w:rsidRDefault="0070242A" w:rsidP="00BF089E">
      <w:pPr>
        <w:contextualSpacing/>
        <w:jc w:val="both"/>
        <w:outlineLvl w:val="0"/>
        <w:rPr>
          <w:rFonts w:ascii="Arial Bold" w:hAnsi="Arial Bold"/>
          <w:b/>
          <w:sz w:val="28"/>
        </w:rPr>
      </w:pPr>
      <w:r>
        <w:rPr>
          <w:rFonts w:ascii="Arial Bold" w:hAnsi="Arial Bold"/>
          <w:b/>
          <w:sz w:val="28"/>
        </w:rPr>
        <w:t>2.</w:t>
      </w:r>
      <w:r w:rsidR="007440C9">
        <w:rPr>
          <w:rFonts w:ascii="Arial Bold" w:hAnsi="Arial Bold"/>
          <w:b/>
          <w:sz w:val="28"/>
        </w:rPr>
        <w:t>3</w:t>
      </w:r>
      <w:r>
        <w:rPr>
          <w:rFonts w:ascii="Arial Bold" w:hAnsi="Arial Bold"/>
          <w:b/>
          <w:sz w:val="28"/>
        </w:rPr>
        <w:t xml:space="preserve"> </w:t>
      </w:r>
      <w:r w:rsidR="00824B82">
        <w:rPr>
          <w:rFonts w:ascii="Arial Bold" w:hAnsi="Arial Bold"/>
          <w:b/>
          <w:sz w:val="28"/>
        </w:rPr>
        <w:t>C</w:t>
      </w:r>
      <w:r>
        <w:rPr>
          <w:rFonts w:ascii="Arial Bold" w:hAnsi="Arial Bold"/>
          <w:b/>
          <w:sz w:val="28"/>
        </w:rPr>
        <w:t xml:space="preserve">orporate </w:t>
      </w:r>
      <w:r w:rsidR="00393D3D">
        <w:rPr>
          <w:rFonts w:ascii="Arial Bold" w:hAnsi="Arial Bold"/>
          <w:b/>
          <w:sz w:val="28"/>
        </w:rPr>
        <w:t>c</w:t>
      </w:r>
      <w:r>
        <w:rPr>
          <w:rFonts w:ascii="Arial Bold" w:hAnsi="Arial Bold"/>
          <w:b/>
          <w:sz w:val="28"/>
        </w:rPr>
        <w:t>omplaints</w:t>
      </w:r>
      <w:r w:rsidR="00824B82">
        <w:rPr>
          <w:rFonts w:ascii="Arial Bold" w:hAnsi="Arial Bold"/>
          <w:b/>
          <w:sz w:val="28"/>
        </w:rPr>
        <w:t xml:space="preserve"> 2022/2023</w:t>
      </w:r>
    </w:p>
    <w:p w14:paraId="5B633CB3" w14:textId="71AB45B6" w:rsidR="0032306B" w:rsidRDefault="0032306B" w:rsidP="0032306B">
      <w:pPr>
        <w:spacing w:before="240"/>
      </w:pPr>
      <w:r>
        <w:t>This report sets out performance</w:t>
      </w:r>
      <w:r w:rsidR="003E756F">
        <w:t xml:space="preserve"> of complaint handling</w:t>
      </w:r>
      <w:r>
        <w:t xml:space="preserve"> </w:t>
      </w:r>
      <w:r w:rsidR="003E756F">
        <w:t>at</w:t>
      </w:r>
      <w:r>
        <w:t xml:space="preserve"> </w:t>
      </w:r>
      <w:r w:rsidR="00B1101C">
        <w:t>the London Borough of Harrow</w:t>
      </w:r>
      <w:r>
        <w:t xml:space="preserve"> for the</w:t>
      </w:r>
      <w:r w:rsidR="00B1101C">
        <w:t xml:space="preserve"> </w:t>
      </w:r>
      <w:r>
        <w:t>period 1 April 202</w:t>
      </w:r>
      <w:r w:rsidR="00B1101C">
        <w:t>2</w:t>
      </w:r>
      <w:r>
        <w:t xml:space="preserve"> to 31 March 202</w:t>
      </w:r>
      <w:r w:rsidR="00B1101C">
        <w:t>3</w:t>
      </w:r>
      <w:r>
        <w:t xml:space="preserve"> and focuses on the nature of complaints</w:t>
      </w:r>
      <w:r w:rsidR="00B1101C">
        <w:t xml:space="preserve"> </w:t>
      </w:r>
      <w:r>
        <w:t xml:space="preserve">and the learning they provide to inform </w:t>
      </w:r>
      <w:r w:rsidR="00B1101C">
        <w:t>the</w:t>
      </w:r>
      <w:r>
        <w:t xml:space="preserve"> future approach to service</w:t>
      </w:r>
      <w:r w:rsidR="00B1101C">
        <w:t xml:space="preserve"> </w:t>
      </w:r>
      <w:r>
        <w:t>improvement.</w:t>
      </w:r>
    </w:p>
    <w:p w14:paraId="4A493EF1" w14:textId="77777777" w:rsidR="00B1101C" w:rsidRDefault="0032306B" w:rsidP="0032306B">
      <w:pPr>
        <w:spacing w:before="240"/>
      </w:pPr>
      <w:r>
        <w:t>Complaints concerning Adult Social Care (ASC) and Children’s Social Care</w:t>
      </w:r>
      <w:r w:rsidR="00B1101C">
        <w:t xml:space="preserve"> </w:t>
      </w:r>
      <w:r>
        <w:t>are governed by separate statutory complaint procedures</w:t>
      </w:r>
      <w:r w:rsidR="00B1101C">
        <w:t>.</w:t>
      </w:r>
    </w:p>
    <w:p w14:paraId="2436CC50" w14:textId="06FC5F0A" w:rsidR="00B14D5E" w:rsidRDefault="00444673" w:rsidP="00444673">
      <w:pPr>
        <w:spacing w:before="240"/>
      </w:pPr>
      <w:r>
        <w:t xml:space="preserve">The Council welcomes customer feedback, to help us to identify and address problems for customers, so to improve our services. </w:t>
      </w:r>
      <w:r w:rsidR="00D42DB5">
        <w:t xml:space="preserve">This report demonstrates </w:t>
      </w:r>
      <w:r w:rsidR="00BD4542">
        <w:t xml:space="preserve">our transparency about the feedback we have received </w:t>
      </w:r>
      <w:r w:rsidR="00AB4C07">
        <w:t>and what we’ve done to put things right.</w:t>
      </w:r>
    </w:p>
    <w:p w14:paraId="66B3BC2B" w14:textId="294A8768" w:rsidR="008F7C07" w:rsidRPr="002661B0" w:rsidRDefault="00393D3D" w:rsidP="00D42DB5">
      <w:pPr>
        <w:spacing w:before="240"/>
        <w:rPr>
          <w:b/>
          <w:bCs/>
        </w:rPr>
      </w:pPr>
      <w:r>
        <w:rPr>
          <w:b/>
          <w:bCs/>
        </w:rPr>
        <w:t>2.</w:t>
      </w:r>
      <w:r w:rsidR="007440C9">
        <w:rPr>
          <w:b/>
          <w:bCs/>
        </w:rPr>
        <w:t>4</w:t>
      </w:r>
      <w:r>
        <w:rPr>
          <w:b/>
          <w:bCs/>
        </w:rPr>
        <w:t xml:space="preserve"> </w:t>
      </w:r>
      <w:r w:rsidR="002661B0" w:rsidRPr="002661B0">
        <w:rPr>
          <w:b/>
          <w:bCs/>
        </w:rPr>
        <w:t>Summary</w:t>
      </w:r>
      <w:r>
        <w:rPr>
          <w:b/>
          <w:bCs/>
        </w:rPr>
        <w:t xml:space="preserve"> </w:t>
      </w:r>
      <w:r w:rsidR="00DA5A3F">
        <w:rPr>
          <w:b/>
          <w:bCs/>
        </w:rPr>
        <w:t xml:space="preserve">of </w:t>
      </w:r>
      <w:r>
        <w:rPr>
          <w:b/>
          <w:bCs/>
        </w:rPr>
        <w:t xml:space="preserve">corporate complaints </w:t>
      </w:r>
    </w:p>
    <w:p w14:paraId="60D78A66" w14:textId="12D9B148" w:rsidR="002661B0" w:rsidRDefault="005F2282" w:rsidP="003F605B">
      <w:pPr>
        <w:spacing w:before="240"/>
      </w:pPr>
      <w:r>
        <w:t xml:space="preserve">The London Borough of Harrow </w:t>
      </w:r>
      <w:r w:rsidR="003F605B">
        <w:t xml:space="preserve">has a clear, corporate commitment to </w:t>
      </w:r>
      <w:r>
        <w:t xml:space="preserve">improving the </w:t>
      </w:r>
      <w:r w:rsidR="003F605B">
        <w:t>customer experience. The</w:t>
      </w:r>
      <w:r>
        <w:t xml:space="preserve"> Customer Commitments, launched and approved at Cabinet in June 2023, sets out </w:t>
      </w:r>
      <w:r w:rsidR="003F605B">
        <w:t>what</w:t>
      </w:r>
      <w:r>
        <w:t xml:space="preserve"> re</w:t>
      </w:r>
      <w:r w:rsidR="003F605B">
        <w:t>sidents should expect from staff, including service standards in relation to</w:t>
      </w:r>
      <w:r w:rsidR="00173C02">
        <w:t xml:space="preserve"> </w:t>
      </w:r>
      <w:r w:rsidR="003F605B">
        <w:t>complaints. The aim is for the organisation to be sensitive to customer needs,</w:t>
      </w:r>
      <w:r w:rsidR="00173C02">
        <w:t xml:space="preserve"> </w:t>
      </w:r>
      <w:r w:rsidR="003F605B">
        <w:t>prioritise communication and provide clear and current information.</w:t>
      </w:r>
    </w:p>
    <w:p w14:paraId="66ACD6AC" w14:textId="77777777" w:rsidR="007F2E86" w:rsidRDefault="004A3BF8" w:rsidP="00FA04DD">
      <w:pPr>
        <w:spacing w:before="240"/>
      </w:pPr>
      <w:r>
        <w:t>The Corporate Complaints officer</w:t>
      </w:r>
      <w:r w:rsidR="00413F11">
        <w:t xml:space="preserve"> and Head of Customer Contact &amp; Engagement</w:t>
      </w:r>
      <w:r>
        <w:t xml:space="preserve"> </w:t>
      </w:r>
      <w:r w:rsidR="00FA04DD">
        <w:t>monitor the numbers of complaints received and the quality and timeliness of</w:t>
      </w:r>
      <w:r w:rsidR="00B81EF3">
        <w:t xml:space="preserve"> </w:t>
      </w:r>
      <w:r w:rsidR="00FA04DD">
        <w:t>responses. The team works closely with service areas to ensure that</w:t>
      </w:r>
      <w:r w:rsidR="00B81EF3">
        <w:t xml:space="preserve"> </w:t>
      </w:r>
      <w:r w:rsidR="00FA04DD">
        <w:t>corrective actions are put in place and</w:t>
      </w:r>
      <w:r w:rsidR="00B81EF3">
        <w:t xml:space="preserve"> that</w:t>
      </w:r>
      <w:r w:rsidR="00FA04DD">
        <w:t xml:space="preserve"> learning from complaints is built </w:t>
      </w:r>
      <w:r w:rsidR="00851BB5">
        <w:t>into</w:t>
      </w:r>
      <w:r w:rsidR="00B81EF3">
        <w:t xml:space="preserve"> </w:t>
      </w:r>
      <w:r w:rsidR="00FA04DD">
        <w:t>service design.</w:t>
      </w:r>
    </w:p>
    <w:p w14:paraId="292C52A8" w14:textId="22E13DF6" w:rsidR="00FA04DD" w:rsidRDefault="007F2E86" w:rsidP="00FA04DD">
      <w:pPr>
        <w:spacing w:before="240"/>
      </w:pPr>
      <w:r>
        <w:t xml:space="preserve">The Council handled </w:t>
      </w:r>
      <w:r w:rsidR="00B909EC">
        <w:t>over 5</w:t>
      </w:r>
      <w:r w:rsidR="00DE3723">
        <w:t xml:space="preserve">,800,000 enquiries in 2022/23 across </w:t>
      </w:r>
      <w:r w:rsidR="00232D07">
        <w:t>its</w:t>
      </w:r>
      <w:r w:rsidR="00DE3723">
        <w:t xml:space="preserve"> communication channels and</w:t>
      </w:r>
      <w:r w:rsidR="007D3BF4">
        <w:t xml:space="preserve"> were involved in millions of</w:t>
      </w:r>
      <w:r w:rsidR="009D12E4">
        <w:t xml:space="preserve"> service</w:t>
      </w:r>
      <w:r w:rsidR="007D3BF4">
        <w:t xml:space="preserve"> interactions </w:t>
      </w:r>
      <w:r w:rsidR="009D12E4">
        <w:t>including bin collections</w:t>
      </w:r>
      <w:r w:rsidR="00624945">
        <w:t xml:space="preserve"> and </w:t>
      </w:r>
      <w:r w:rsidR="009D12E4">
        <w:t>library visits</w:t>
      </w:r>
      <w:r w:rsidR="00624945">
        <w:t xml:space="preserve">.  </w:t>
      </w:r>
    </w:p>
    <w:p w14:paraId="1BB51569" w14:textId="1E5BD561" w:rsidR="005E22E1" w:rsidRPr="00D609F5" w:rsidRDefault="00A01C06" w:rsidP="00D87D2B">
      <w:pPr>
        <w:spacing w:before="240"/>
      </w:pPr>
      <w:r w:rsidRPr="00D609F5">
        <w:t xml:space="preserve">In total, there were 2,313 </w:t>
      </w:r>
      <w:r w:rsidR="00416632">
        <w:t xml:space="preserve">corporate </w:t>
      </w:r>
      <w:r w:rsidR="00854697" w:rsidRPr="00D609F5">
        <w:t xml:space="preserve">complaints received in 2022/23 </w:t>
      </w:r>
      <w:r w:rsidR="005E22E1" w:rsidRPr="00D609F5">
        <w:t>of which 128 were escalated to stage II.</w:t>
      </w:r>
      <w:r w:rsidR="00B23ADC" w:rsidRPr="00D609F5">
        <w:t xml:space="preserve">  </w:t>
      </w:r>
      <w:r w:rsidR="002E31B6" w:rsidRPr="00D609F5">
        <w:t>There is</w:t>
      </w:r>
      <w:r w:rsidR="00E261E8">
        <w:t xml:space="preserve"> no corporate complaints IT system so</w:t>
      </w:r>
      <w:r w:rsidR="002E31B6" w:rsidRPr="00D609F5">
        <w:t xml:space="preserve"> limited information</w:t>
      </w:r>
      <w:r w:rsidR="003F5326">
        <w:t xml:space="preserve"> is</w:t>
      </w:r>
      <w:r w:rsidR="002E31B6" w:rsidRPr="00D609F5">
        <w:t xml:space="preserve"> </w:t>
      </w:r>
      <w:r w:rsidR="00EC6ED5" w:rsidRPr="00D609F5">
        <w:t xml:space="preserve">kept on timescales however where this data is available </w:t>
      </w:r>
      <w:r w:rsidR="00D609F5" w:rsidRPr="00D609F5">
        <w:t>it shows that 81% of complaints were responded to within timescale.</w:t>
      </w:r>
    </w:p>
    <w:p w14:paraId="66001D0C" w14:textId="4D388980" w:rsidR="004A3BF8" w:rsidRPr="0077508D" w:rsidRDefault="0095027A" w:rsidP="003F605B">
      <w:pPr>
        <w:spacing w:before="240"/>
      </w:pPr>
      <w:r w:rsidRPr="00D609F5">
        <w:t xml:space="preserve">The Local Government &amp; Social </w:t>
      </w:r>
      <w:r w:rsidRPr="0077508D">
        <w:t>Care Ombudsman (LGSCO) received 95 complaints last year</w:t>
      </w:r>
      <w:r w:rsidR="00E6175C">
        <w:t xml:space="preserve"> for Harrow</w:t>
      </w:r>
      <w:r w:rsidRPr="0077508D">
        <w:t xml:space="preserve"> and investigated twenty-three (24%) of these.</w:t>
      </w:r>
      <w:r w:rsidR="0077508D" w:rsidRPr="0077508D">
        <w:t xml:space="preserve">  Further details are outlined later in the report.</w:t>
      </w:r>
    </w:p>
    <w:p w14:paraId="0E15B026" w14:textId="4D142DBF" w:rsidR="003F5326" w:rsidRDefault="003F5326">
      <w:pPr>
        <w:rPr>
          <w:b/>
          <w:bCs/>
        </w:rPr>
      </w:pPr>
    </w:p>
    <w:p w14:paraId="3A86615D" w14:textId="2B396531" w:rsidR="002661B0" w:rsidRPr="0098584B" w:rsidRDefault="00393D3D" w:rsidP="00D42DB5">
      <w:pPr>
        <w:spacing w:before="240"/>
        <w:rPr>
          <w:b/>
          <w:bCs/>
        </w:rPr>
      </w:pPr>
      <w:r>
        <w:rPr>
          <w:b/>
          <w:bCs/>
        </w:rPr>
        <w:t>2.</w:t>
      </w:r>
      <w:r w:rsidR="007440C9">
        <w:rPr>
          <w:b/>
          <w:bCs/>
        </w:rPr>
        <w:t>5</w:t>
      </w:r>
      <w:r>
        <w:rPr>
          <w:b/>
          <w:bCs/>
        </w:rPr>
        <w:t xml:space="preserve"> </w:t>
      </w:r>
      <w:r w:rsidR="0098584B" w:rsidRPr="0098584B">
        <w:rPr>
          <w:b/>
          <w:bCs/>
        </w:rPr>
        <w:t xml:space="preserve">Directorate </w:t>
      </w:r>
      <w:r w:rsidR="0098584B">
        <w:rPr>
          <w:b/>
          <w:bCs/>
        </w:rPr>
        <w:t>Summaries</w:t>
      </w:r>
    </w:p>
    <w:p w14:paraId="6399ECE1" w14:textId="1410D611" w:rsidR="00B630D3" w:rsidRPr="005C2120" w:rsidRDefault="00B630D3" w:rsidP="00B630D3">
      <w:pPr>
        <w:spacing w:before="240"/>
      </w:pPr>
      <w:r w:rsidRPr="005C2120">
        <w:lastRenderedPageBreak/>
        <w:t>Each council department reviews the complaints and compliments it receives</w:t>
      </w:r>
      <w:r w:rsidR="00E02B55" w:rsidRPr="005C2120">
        <w:t xml:space="preserve"> and data is compiled </w:t>
      </w:r>
      <w:r w:rsidRPr="005C2120">
        <w:t>on a quarterly</w:t>
      </w:r>
      <w:r w:rsidR="006C6A50" w:rsidRPr="005C2120">
        <w:t xml:space="preserve"> </w:t>
      </w:r>
      <w:r w:rsidRPr="005C2120">
        <w:t>basis. This enables services to identify if there are any trends in the types of complaint being</w:t>
      </w:r>
      <w:r w:rsidR="00E02B55" w:rsidRPr="005C2120">
        <w:t xml:space="preserve"> </w:t>
      </w:r>
      <w:r w:rsidRPr="005C2120">
        <w:t>made or the service</w:t>
      </w:r>
      <w:r w:rsidR="000B13A7" w:rsidRPr="005C2120">
        <w:t xml:space="preserve"> request</w:t>
      </w:r>
      <w:r w:rsidRPr="005C2120">
        <w:t>s that complaints are being made about. As a result, changes can be</w:t>
      </w:r>
      <w:r w:rsidR="000B13A7" w:rsidRPr="005C2120">
        <w:t xml:space="preserve"> </w:t>
      </w:r>
      <w:r w:rsidRPr="005C2120">
        <w:t>made to services and how they are provided.</w:t>
      </w:r>
    </w:p>
    <w:p w14:paraId="41A69AA9" w14:textId="77777777" w:rsidR="005C2120" w:rsidRPr="005C2120" w:rsidRDefault="00B630D3" w:rsidP="00B630D3">
      <w:pPr>
        <w:spacing w:before="240"/>
      </w:pPr>
      <w:r w:rsidRPr="005C2120">
        <w:t>The next section of this report details comments from Services on actions they have taken to</w:t>
      </w:r>
      <w:r w:rsidR="000B13A7" w:rsidRPr="005C2120">
        <w:t xml:space="preserve"> </w:t>
      </w:r>
      <w:r w:rsidRPr="005C2120">
        <w:t xml:space="preserve">prevent, improve or change as a result of the feedback received in previous years. </w:t>
      </w:r>
    </w:p>
    <w:p w14:paraId="427A1781" w14:textId="53EBDC6B" w:rsidR="00907DA2" w:rsidRPr="00907DA2" w:rsidRDefault="00393D3D" w:rsidP="00FE0AE1">
      <w:pPr>
        <w:spacing w:before="240"/>
        <w:rPr>
          <w:b/>
          <w:bCs/>
        </w:rPr>
      </w:pPr>
      <w:r>
        <w:rPr>
          <w:b/>
          <w:bCs/>
        </w:rPr>
        <w:t>2.</w:t>
      </w:r>
      <w:r w:rsidR="007440C9">
        <w:rPr>
          <w:b/>
          <w:bCs/>
        </w:rPr>
        <w:t>6</w:t>
      </w:r>
      <w:r>
        <w:rPr>
          <w:b/>
          <w:bCs/>
        </w:rPr>
        <w:t xml:space="preserve"> </w:t>
      </w:r>
      <w:r w:rsidR="00907DA2" w:rsidRPr="00907DA2">
        <w:rPr>
          <w:b/>
          <w:bCs/>
        </w:rPr>
        <w:t>Resources Directorate</w:t>
      </w:r>
    </w:p>
    <w:p w14:paraId="34B21FAF" w14:textId="032A4F40" w:rsidR="00907DA2" w:rsidRDefault="005328A2" w:rsidP="00FE0AE1">
      <w:pPr>
        <w:spacing w:before="240"/>
      </w:pPr>
      <w:r>
        <w:t xml:space="preserve">The table below shows </w:t>
      </w:r>
      <w:r w:rsidR="0081016D">
        <w:t>the number of complaints received for Corporate Resources</w:t>
      </w:r>
    </w:p>
    <w:p w14:paraId="4F3A0778" w14:textId="2007BB58" w:rsidR="005F195B" w:rsidRDefault="005F195B" w:rsidP="00FE0AE1">
      <w:pPr>
        <w:spacing w:before="240"/>
      </w:pPr>
      <w:r w:rsidRPr="005F195B">
        <w:rPr>
          <w:noProof/>
        </w:rPr>
        <w:drawing>
          <wp:inline distT="0" distB="0" distL="0" distR="0" wp14:anchorId="09925592" wp14:editId="0D296818">
            <wp:extent cx="5931673" cy="325317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1561" cy="3264083"/>
                    </a:xfrm>
                    <a:prstGeom prst="rect">
                      <a:avLst/>
                    </a:prstGeom>
                    <a:noFill/>
                    <a:ln>
                      <a:noFill/>
                    </a:ln>
                  </pic:spPr>
                </pic:pic>
              </a:graphicData>
            </a:graphic>
          </wp:inline>
        </w:drawing>
      </w:r>
    </w:p>
    <w:p w14:paraId="4406B2E6" w14:textId="77777777" w:rsidR="00907DA2" w:rsidRDefault="00907DA2" w:rsidP="00FE0AE1">
      <w:pPr>
        <w:spacing w:before="240"/>
      </w:pPr>
    </w:p>
    <w:p w14:paraId="5DEE0D2A" w14:textId="55A3959B" w:rsidR="005F195B" w:rsidRDefault="00096A99" w:rsidP="00FE0AE1">
      <w:pPr>
        <w:spacing w:before="240"/>
      </w:pPr>
      <w:r>
        <w:t>Of the 500</w:t>
      </w:r>
      <w:r w:rsidR="00847165">
        <w:t xml:space="preserve"> stage I</w:t>
      </w:r>
      <w:r>
        <w:t xml:space="preserve"> complaints </w:t>
      </w:r>
      <w:r w:rsidR="00847165">
        <w:t xml:space="preserve">received </w:t>
      </w:r>
      <w:r w:rsidR="00DE60EA">
        <w:t xml:space="preserve">within Resources, 52% were in relation to Concessionary Travel.  </w:t>
      </w:r>
      <w:r w:rsidR="009A1130">
        <w:t xml:space="preserve">The complaints are where the resident has been unsuccessful in their application </w:t>
      </w:r>
      <w:r w:rsidR="007A3585">
        <w:t xml:space="preserve">and is unhappy with the decision. </w:t>
      </w:r>
      <w:r w:rsidR="00DE60EA">
        <w:t>The</w:t>
      </w:r>
      <w:r w:rsidR="0068178D">
        <w:t xml:space="preserve"> Council has a set of criteria </w:t>
      </w:r>
      <w:r w:rsidR="004127C4">
        <w:t xml:space="preserve">as to who is eligible for a Blue Badge </w:t>
      </w:r>
      <w:r w:rsidR="00884D4F">
        <w:t>and physical assessments are carried out where required</w:t>
      </w:r>
      <w:r w:rsidR="009A1130">
        <w:t xml:space="preserve"> </w:t>
      </w:r>
      <w:r w:rsidR="0093520A">
        <w:t xml:space="preserve">to ensure that </w:t>
      </w:r>
      <w:r w:rsidR="003830A2">
        <w:t xml:space="preserve">these are </w:t>
      </w:r>
      <w:r w:rsidR="009234BE">
        <w:t>approved where appropriate.</w:t>
      </w:r>
    </w:p>
    <w:p w14:paraId="02A7812D" w14:textId="27E53786" w:rsidR="009234BE" w:rsidRDefault="00C5772E" w:rsidP="00FE0AE1">
      <w:pPr>
        <w:spacing w:before="240"/>
      </w:pPr>
      <w:r>
        <w:t xml:space="preserve">Council Tax &amp; Benefits accounted for 40% of the complaints </w:t>
      </w:r>
      <w:r w:rsidR="00AC45DC">
        <w:t xml:space="preserve">within Resources.  </w:t>
      </w:r>
      <w:r w:rsidR="0076654D">
        <w:t xml:space="preserve">The most common complaint relates to summons costs applied after a final notice is applied </w:t>
      </w:r>
      <w:r w:rsidR="00AB2A7B">
        <w:t>for non-payment however there is no overarching theme of discontent.</w:t>
      </w:r>
    </w:p>
    <w:p w14:paraId="6C8EA10D" w14:textId="77777777" w:rsidR="00AB2A7B" w:rsidRDefault="00AB2A7B" w:rsidP="00FE0AE1">
      <w:pPr>
        <w:spacing w:before="240"/>
      </w:pPr>
    </w:p>
    <w:p w14:paraId="4521AFE4" w14:textId="77777777" w:rsidR="00F43407" w:rsidRDefault="00F43407" w:rsidP="00FE0AE1">
      <w:pPr>
        <w:spacing w:before="240"/>
      </w:pPr>
    </w:p>
    <w:p w14:paraId="2E7AD5A5" w14:textId="77777777" w:rsidR="00F43407" w:rsidRDefault="00F43407" w:rsidP="00FE0AE1">
      <w:pPr>
        <w:spacing w:before="240"/>
      </w:pPr>
    </w:p>
    <w:p w14:paraId="2AF2785F" w14:textId="3865A515" w:rsidR="00907DA2" w:rsidRPr="00907DA2" w:rsidRDefault="00393D3D" w:rsidP="00FE0AE1">
      <w:pPr>
        <w:spacing w:before="240"/>
        <w:rPr>
          <w:b/>
          <w:bCs/>
        </w:rPr>
      </w:pPr>
      <w:r>
        <w:rPr>
          <w:b/>
          <w:bCs/>
        </w:rPr>
        <w:lastRenderedPageBreak/>
        <w:t>2.</w:t>
      </w:r>
      <w:r w:rsidR="007440C9">
        <w:rPr>
          <w:b/>
          <w:bCs/>
        </w:rPr>
        <w:t>7</w:t>
      </w:r>
      <w:r>
        <w:rPr>
          <w:b/>
          <w:bCs/>
        </w:rPr>
        <w:t xml:space="preserve"> </w:t>
      </w:r>
      <w:r w:rsidR="00907DA2" w:rsidRPr="00907DA2">
        <w:rPr>
          <w:b/>
          <w:bCs/>
        </w:rPr>
        <w:t>Place Directorate</w:t>
      </w:r>
    </w:p>
    <w:p w14:paraId="6A3A50A5" w14:textId="65080558" w:rsidR="0081016D" w:rsidRDefault="0081016D" w:rsidP="0081016D">
      <w:pPr>
        <w:spacing w:before="240"/>
      </w:pPr>
      <w:r>
        <w:t>The table below shows the number of complaints received for the Place Directorate</w:t>
      </w:r>
    </w:p>
    <w:p w14:paraId="2560D3C9" w14:textId="138552B3" w:rsidR="00907DA2" w:rsidRDefault="00B6251F" w:rsidP="00FE0AE1">
      <w:pPr>
        <w:spacing w:before="240"/>
      </w:pPr>
      <w:r w:rsidRPr="00B6251F">
        <w:rPr>
          <w:noProof/>
        </w:rPr>
        <w:drawing>
          <wp:inline distT="0" distB="0" distL="0" distR="0" wp14:anchorId="05595CA3" wp14:editId="0BBBB0A3">
            <wp:extent cx="5943928" cy="44209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4272" cy="4428619"/>
                    </a:xfrm>
                    <a:prstGeom prst="rect">
                      <a:avLst/>
                    </a:prstGeom>
                    <a:noFill/>
                    <a:ln>
                      <a:noFill/>
                    </a:ln>
                  </pic:spPr>
                </pic:pic>
              </a:graphicData>
            </a:graphic>
          </wp:inline>
        </w:drawing>
      </w:r>
    </w:p>
    <w:p w14:paraId="4999685E" w14:textId="360545A5" w:rsidR="00B751B4" w:rsidRDefault="00B751B4" w:rsidP="00FE0AE1">
      <w:pPr>
        <w:spacing w:before="240"/>
      </w:pPr>
      <w:r>
        <w:t xml:space="preserve">Over 70% of the complaints within the Place directorate are connected to Environmental Services. </w:t>
      </w:r>
      <w:r w:rsidR="00C86033">
        <w:t>These fall under three common categories:</w:t>
      </w:r>
    </w:p>
    <w:p w14:paraId="52199C76" w14:textId="6B095338" w:rsidR="00C86033" w:rsidRDefault="00C86033" w:rsidP="00FE0AE1">
      <w:pPr>
        <w:spacing w:before="240"/>
      </w:pPr>
      <w:r>
        <w:t xml:space="preserve">Missed Bins </w:t>
      </w:r>
      <w:r w:rsidR="00B810DE">
        <w:t xml:space="preserve">– </w:t>
      </w:r>
      <w:r w:rsidR="006B1767">
        <w:t xml:space="preserve">where the resident remains dissatisfied with their </w:t>
      </w:r>
      <w:r w:rsidR="00457145">
        <w:t xml:space="preserve">collection.  The Council has upgraded the in-cab technology and is </w:t>
      </w:r>
      <w:r w:rsidR="00DD6155">
        <w:t xml:space="preserve">rolling that the use of the system across all refuse teams.  This will make it easier for residents to report and escalate missed bins </w:t>
      </w:r>
      <w:r w:rsidR="00132CF2">
        <w:t xml:space="preserve">and for the service to identify patterns of non-collection.  The service </w:t>
      </w:r>
      <w:r w:rsidR="00D56573">
        <w:t xml:space="preserve">already investigating addresses where multiple missed collections occur to understand the reasons why and </w:t>
      </w:r>
      <w:r w:rsidR="002F7E7A">
        <w:t>to implement procedures to improve.</w:t>
      </w:r>
    </w:p>
    <w:p w14:paraId="4C35B743" w14:textId="19A63E47" w:rsidR="00B810DE" w:rsidRDefault="00B810DE" w:rsidP="00FE0AE1">
      <w:pPr>
        <w:spacing w:before="240"/>
      </w:pPr>
      <w:r>
        <w:t xml:space="preserve">Fly Tipping &amp; Street Cleaning – </w:t>
      </w:r>
      <w:r w:rsidR="003E1FC4">
        <w:t xml:space="preserve">where residents are unhappy with the </w:t>
      </w:r>
      <w:r w:rsidR="00570432">
        <w:t xml:space="preserve">cleanliness of their road. </w:t>
      </w:r>
      <w:r w:rsidR="00AF0969">
        <w:t xml:space="preserve">The Council runs a responsive </w:t>
      </w:r>
      <w:r w:rsidR="00E33B36">
        <w:t>cleaning team that removes fly tips within 48 hours</w:t>
      </w:r>
      <w:r w:rsidR="005C788E">
        <w:t>. Enforcement teams will investigate</w:t>
      </w:r>
      <w:r w:rsidR="004E40A5">
        <w:t xml:space="preserve"> certain fly tips</w:t>
      </w:r>
      <w:r w:rsidR="00903554">
        <w:t xml:space="preserve"> with a view to identify </w:t>
      </w:r>
      <w:r w:rsidR="004E40A5">
        <w:t xml:space="preserve">the perpetrator </w:t>
      </w:r>
      <w:r w:rsidR="00903554">
        <w:t xml:space="preserve">and arrange for removal </w:t>
      </w:r>
      <w:r w:rsidR="00145BF8">
        <w:t xml:space="preserve">afterwards. </w:t>
      </w:r>
      <w:r w:rsidR="00903554">
        <w:t xml:space="preserve"> </w:t>
      </w:r>
      <w:r w:rsidR="005C788E">
        <w:t xml:space="preserve"> </w:t>
      </w:r>
      <w:r w:rsidR="00E33B36">
        <w:t xml:space="preserve"> </w:t>
      </w:r>
      <w:r w:rsidR="00FA395F">
        <w:t xml:space="preserve">The Council has recently introduced </w:t>
      </w:r>
      <w:r w:rsidR="00432926">
        <w:t>a number of mobile CC-TV cameras to help identify and prosecute fly</w:t>
      </w:r>
      <w:r w:rsidR="00AF0969">
        <w:t xml:space="preserve"> tippers in</w:t>
      </w:r>
      <w:r w:rsidR="00390D78">
        <w:t xml:space="preserve"> areas where offences are high. </w:t>
      </w:r>
    </w:p>
    <w:p w14:paraId="073A0BDB" w14:textId="6A9E5C2F" w:rsidR="00B810DE" w:rsidRDefault="00AB3735" w:rsidP="00FE0AE1">
      <w:pPr>
        <w:spacing w:before="240"/>
      </w:pPr>
      <w:r>
        <w:t xml:space="preserve">Road Maintenance – </w:t>
      </w:r>
      <w:r w:rsidR="009720DB">
        <w:t>where residents are unhappy with the condition of the pavement or r</w:t>
      </w:r>
      <w:r w:rsidR="00B32243">
        <w:t xml:space="preserve">oad where they live.  The Council has since taken a targeted approach to </w:t>
      </w:r>
      <w:r w:rsidR="00D46231">
        <w:t>resurfacing</w:t>
      </w:r>
      <w:r w:rsidR="00B84372">
        <w:t xml:space="preserve"> roads in greatest need</w:t>
      </w:r>
      <w:r w:rsidR="00D46231">
        <w:t xml:space="preserve"> </w:t>
      </w:r>
      <w:r w:rsidR="00B6652A">
        <w:t xml:space="preserve">based upon </w:t>
      </w:r>
      <w:r w:rsidR="00B84372">
        <w:t xml:space="preserve">condition surveys.  </w:t>
      </w:r>
    </w:p>
    <w:p w14:paraId="0A04583B" w14:textId="77777777" w:rsidR="00AB3735" w:rsidRDefault="00AB3735" w:rsidP="00FE0AE1">
      <w:pPr>
        <w:spacing w:before="240"/>
      </w:pPr>
    </w:p>
    <w:p w14:paraId="2925D3C2" w14:textId="4DA27747" w:rsidR="00432926" w:rsidRPr="002B0871" w:rsidRDefault="00432926" w:rsidP="00FE0AE1">
      <w:pPr>
        <w:spacing w:before="240"/>
        <w:rPr>
          <w:szCs w:val="24"/>
        </w:rPr>
      </w:pPr>
      <w:r w:rsidRPr="002B0871">
        <w:rPr>
          <w:szCs w:val="24"/>
        </w:rPr>
        <w:t>Housing</w:t>
      </w:r>
      <w:r w:rsidR="00365376" w:rsidRPr="002B0871">
        <w:rPr>
          <w:szCs w:val="24"/>
        </w:rPr>
        <w:t xml:space="preserve"> accounts for </w:t>
      </w:r>
      <w:r w:rsidRPr="002B0871">
        <w:rPr>
          <w:szCs w:val="24"/>
        </w:rPr>
        <w:t>22%</w:t>
      </w:r>
      <w:r w:rsidR="00365376" w:rsidRPr="002B0871">
        <w:rPr>
          <w:szCs w:val="24"/>
        </w:rPr>
        <w:t xml:space="preserve"> of complaints across </w:t>
      </w:r>
      <w:r w:rsidR="009B0501" w:rsidRPr="002B0871">
        <w:rPr>
          <w:szCs w:val="24"/>
        </w:rPr>
        <w:t>the Place Directorate.  The most common themes include:</w:t>
      </w:r>
    </w:p>
    <w:p w14:paraId="6CD8481A" w14:textId="77777777" w:rsidR="00365004" w:rsidRDefault="00365004" w:rsidP="00365004">
      <w:pPr>
        <w:rPr>
          <w:szCs w:val="24"/>
        </w:rPr>
      </w:pPr>
    </w:p>
    <w:p w14:paraId="3AB5D318" w14:textId="3FCE6A7E" w:rsidR="002B0871" w:rsidRPr="002B0871" w:rsidRDefault="002B0871" w:rsidP="00365004">
      <w:pPr>
        <w:rPr>
          <w:szCs w:val="24"/>
        </w:rPr>
      </w:pPr>
      <w:r w:rsidRPr="002B0871">
        <w:rPr>
          <w:szCs w:val="24"/>
        </w:rPr>
        <w:t>Repairs</w:t>
      </w:r>
    </w:p>
    <w:p w14:paraId="237495EB" w14:textId="6D6BBCAA" w:rsidR="002B0871" w:rsidRPr="002B0871" w:rsidRDefault="002B0871" w:rsidP="00365004">
      <w:pPr>
        <w:pStyle w:val="ListParagraph"/>
        <w:numPr>
          <w:ilvl w:val="0"/>
          <w:numId w:val="19"/>
        </w:numPr>
        <w:rPr>
          <w:sz w:val="24"/>
          <w:szCs w:val="24"/>
        </w:rPr>
      </w:pPr>
      <w:r w:rsidRPr="002B0871">
        <w:rPr>
          <w:sz w:val="24"/>
          <w:szCs w:val="24"/>
        </w:rPr>
        <w:t>Mould / damp</w:t>
      </w:r>
    </w:p>
    <w:p w14:paraId="44D77733" w14:textId="0A5204A9" w:rsidR="002B0871" w:rsidRPr="002B0871" w:rsidRDefault="002B0871" w:rsidP="00365004">
      <w:pPr>
        <w:pStyle w:val="ListParagraph"/>
        <w:numPr>
          <w:ilvl w:val="0"/>
          <w:numId w:val="19"/>
        </w:numPr>
        <w:rPr>
          <w:sz w:val="24"/>
          <w:szCs w:val="24"/>
        </w:rPr>
      </w:pPr>
      <w:r w:rsidRPr="002B0871">
        <w:rPr>
          <w:sz w:val="24"/>
          <w:szCs w:val="24"/>
        </w:rPr>
        <w:t>Fence repair</w:t>
      </w:r>
    </w:p>
    <w:p w14:paraId="51E50AF3" w14:textId="4F1401A0" w:rsidR="002B0871" w:rsidRPr="002B0871" w:rsidRDefault="002B0871" w:rsidP="00365004">
      <w:pPr>
        <w:pStyle w:val="ListParagraph"/>
        <w:numPr>
          <w:ilvl w:val="0"/>
          <w:numId w:val="19"/>
        </w:numPr>
        <w:rPr>
          <w:sz w:val="24"/>
          <w:szCs w:val="24"/>
        </w:rPr>
      </w:pPr>
      <w:r w:rsidRPr="002B0871">
        <w:rPr>
          <w:sz w:val="24"/>
          <w:szCs w:val="24"/>
        </w:rPr>
        <w:t>Leaks</w:t>
      </w:r>
    </w:p>
    <w:p w14:paraId="4FED5F13" w14:textId="269F7598" w:rsidR="002B0871" w:rsidRPr="002B0871" w:rsidRDefault="002B0871" w:rsidP="00365004">
      <w:pPr>
        <w:pStyle w:val="ListParagraph"/>
        <w:numPr>
          <w:ilvl w:val="0"/>
          <w:numId w:val="19"/>
        </w:numPr>
        <w:rPr>
          <w:sz w:val="24"/>
          <w:szCs w:val="24"/>
        </w:rPr>
      </w:pPr>
      <w:r w:rsidRPr="002B0871">
        <w:rPr>
          <w:sz w:val="24"/>
          <w:szCs w:val="24"/>
        </w:rPr>
        <w:t>Roof/Ceiling repair</w:t>
      </w:r>
    </w:p>
    <w:p w14:paraId="295AD715" w14:textId="77777777" w:rsidR="00365004" w:rsidRDefault="00365004" w:rsidP="00365004"/>
    <w:p w14:paraId="34B88B57" w14:textId="607CA88B" w:rsidR="002B0871" w:rsidRDefault="002B0871" w:rsidP="00365004">
      <w:r>
        <w:t>Resident Services</w:t>
      </w:r>
    </w:p>
    <w:p w14:paraId="5D92DD0F" w14:textId="5D0B8611" w:rsidR="002B0871" w:rsidRPr="002B0871" w:rsidRDefault="002B0871" w:rsidP="00365004">
      <w:pPr>
        <w:pStyle w:val="ListParagraph"/>
        <w:numPr>
          <w:ilvl w:val="0"/>
          <w:numId w:val="20"/>
        </w:numPr>
        <w:rPr>
          <w:sz w:val="24"/>
          <w:szCs w:val="24"/>
        </w:rPr>
      </w:pPr>
      <w:r w:rsidRPr="002B0871">
        <w:rPr>
          <w:sz w:val="24"/>
          <w:szCs w:val="24"/>
        </w:rPr>
        <w:t>Parking</w:t>
      </w:r>
    </w:p>
    <w:p w14:paraId="65F1B530" w14:textId="020635CD" w:rsidR="002B0871" w:rsidRPr="002B0871" w:rsidRDefault="002B0871" w:rsidP="00365004">
      <w:pPr>
        <w:pStyle w:val="ListParagraph"/>
        <w:numPr>
          <w:ilvl w:val="0"/>
          <w:numId w:val="20"/>
        </w:numPr>
        <w:rPr>
          <w:sz w:val="24"/>
          <w:szCs w:val="24"/>
        </w:rPr>
      </w:pPr>
      <w:r w:rsidRPr="002B0871">
        <w:rPr>
          <w:sz w:val="24"/>
          <w:szCs w:val="24"/>
        </w:rPr>
        <w:t>Neighbour disputes, ASB &amp; Fly tipping</w:t>
      </w:r>
    </w:p>
    <w:p w14:paraId="17079BCF" w14:textId="7F985A47" w:rsidR="002B0871" w:rsidRPr="002B0871" w:rsidRDefault="002B0871" w:rsidP="00365004">
      <w:pPr>
        <w:pStyle w:val="ListParagraph"/>
        <w:numPr>
          <w:ilvl w:val="0"/>
          <w:numId w:val="20"/>
        </w:numPr>
        <w:rPr>
          <w:sz w:val="24"/>
          <w:szCs w:val="24"/>
        </w:rPr>
      </w:pPr>
      <w:r w:rsidRPr="002B0871">
        <w:rPr>
          <w:sz w:val="24"/>
          <w:szCs w:val="24"/>
        </w:rPr>
        <w:t>Rent arrears</w:t>
      </w:r>
    </w:p>
    <w:p w14:paraId="5816AD8F" w14:textId="77777777" w:rsidR="002B0871" w:rsidRDefault="002B0871" w:rsidP="00365004"/>
    <w:p w14:paraId="0901C3B1" w14:textId="77777777" w:rsidR="002B0871" w:rsidRDefault="002B0871" w:rsidP="00365004">
      <w:r>
        <w:t>Housing Needs &amp; Homelessness</w:t>
      </w:r>
    </w:p>
    <w:p w14:paraId="3462931A" w14:textId="300BD2D8" w:rsidR="00633871" w:rsidRPr="00365004" w:rsidRDefault="002B0871" w:rsidP="00365004">
      <w:pPr>
        <w:pStyle w:val="ListParagraph"/>
        <w:numPr>
          <w:ilvl w:val="0"/>
          <w:numId w:val="21"/>
        </w:numPr>
        <w:rPr>
          <w:sz w:val="24"/>
          <w:szCs w:val="24"/>
        </w:rPr>
      </w:pPr>
      <w:r w:rsidRPr="00365004">
        <w:rPr>
          <w:sz w:val="24"/>
          <w:szCs w:val="24"/>
        </w:rPr>
        <w:t>A</w:t>
      </w:r>
      <w:r w:rsidR="00633871" w:rsidRPr="00365004">
        <w:rPr>
          <w:sz w:val="24"/>
          <w:szCs w:val="24"/>
        </w:rPr>
        <w:t xml:space="preserve">ccommodation  </w:t>
      </w:r>
    </w:p>
    <w:p w14:paraId="0BCBC915" w14:textId="5BDB56AC" w:rsidR="002B0871" w:rsidRPr="00365004" w:rsidRDefault="002B0871" w:rsidP="00365004">
      <w:pPr>
        <w:pStyle w:val="ListParagraph"/>
        <w:numPr>
          <w:ilvl w:val="0"/>
          <w:numId w:val="21"/>
        </w:numPr>
        <w:rPr>
          <w:sz w:val="24"/>
          <w:szCs w:val="24"/>
        </w:rPr>
      </w:pPr>
      <w:r w:rsidRPr="00365004">
        <w:rPr>
          <w:sz w:val="24"/>
          <w:szCs w:val="24"/>
        </w:rPr>
        <w:t>Rehousing</w:t>
      </w:r>
    </w:p>
    <w:p w14:paraId="7158B043" w14:textId="25BBA68D" w:rsidR="002B0871" w:rsidRPr="00365004" w:rsidRDefault="002B0871" w:rsidP="00365004">
      <w:pPr>
        <w:pStyle w:val="ListParagraph"/>
        <w:numPr>
          <w:ilvl w:val="0"/>
          <w:numId w:val="21"/>
        </w:numPr>
        <w:rPr>
          <w:sz w:val="24"/>
          <w:szCs w:val="24"/>
        </w:rPr>
      </w:pPr>
      <w:r w:rsidRPr="00365004">
        <w:rPr>
          <w:sz w:val="24"/>
          <w:szCs w:val="24"/>
        </w:rPr>
        <w:t xml:space="preserve">Locata </w:t>
      </w:r>
    </w:p>
    <w:p w14:paraId="6BCC855D" w14:textId="77777777" w:rsidR="002B0871" w:rsidRDefault="002B0871" w:rsidP="00365004"/>
    <w:p w14:paraId="6BCD8405" w14:textId="77777777" w:rsidR="00432926" w:rsidRDefault="00432926" w:rsidP="00365004"/>
    <w:p w14:paraId="6E94CF1D" w14:textId="4D35EB9D" w:rsidR="00633871" w:rsidRDefault="00365004" w:rsidP="00365004">
      <w:r>
        <w:t xml:space="preserve">The Housing Service introduced a number of initiatives </w:t>
      </w:r>
      <w:r w:rsidR="005D117A">
        <w:t>to improve complaint management</w:t>
      </w:r>
      <w:r w:rsidR="00BB519B">
        <w:t>:</w:t>
      </w:r>
    </w:p>
    <w:p w14:paraId="31C3C93A" w14:textId="263725C6" w:rsidR="00B20F04" w:rsidRDefault="00B20F04" w:rsidP="00B20F04">
      <w:pPr>
        <w:spacing w:before="240"/>
      </w:pPr>
      <w:r>
        <w:t>Reviewed complaints policy in line with</w:t>
      </w:r>
      <w:r w:rsidR="00BB519B">
        <w:t xml:space="preserve"> the Council’s up</w:t>
      </w:r>
      <w:r w:rsidR="00A868EC">
        <w:t>dated policy and</w:t>
      </w:r>
      <w:r>
        <w:t xml:space="preserve"> the requirements of the Housing Ombudsman Complaint Handling Code </w:t>
      </w:r>
    </w:p>
    <w:p w14:paraId="4C6D1FF8" w14:textId="77777777" w:rsidR="00A868EC" w:rsidRDefault="00B20F04" w:rsidP="00B20F04">
      <w:pPr>
        <w:spacing w:before="240"/>
      </w:pPr>
      <w:r>
        <w:t>Set up a resident panel early this year to review customer feedback</w:t>
      </w:r>
    </w:p>
    <w:p w14:paraId="368BF2A0" w14:textId="5C0A69B5" w:rsidR="00B20F04" w:rsidRDefault="00B20F04" w:rsidP="00B20F04">
      <w:pPr>
        <w:spacing w:before="240"/>
      </w:pPr>
      <w:r>
        <w:t>Every Monday weekly performance is published</w:t>
      </w:r>
      <w:r w:rsidR="00A868EC">
        <w:t xml:space="preserve"> internally</w:t>
      </w:r>
      <w:r>
        <w:t xml:space="preserve">, and reminders are sent in advance to encourage colleagues to comply with timescales. </w:t>
      </w:r>
    </w:p>
    <w:p w14:paraId="31E7A3AA" w14:textId="47AC5F06" w:rsidR="00B20F04" w:rsidRDefault="00B20F04" w:rsidP="00B20F04">
      <w:pPr>
        <w:spacing w:before="240"/>
      </w:pPr>
      <w:r>
        <w:t>A dedicated officer</w:t>
      </w:r>
      <w:r w:rsidR="00A868EC">
        <w:t xml:space="preserve"> is </w:t>
      </w:r>
      <w:r w:rsidR="00B963C3">
        <w:t>appointed</w:t>
      </w:r>
      <w:r>
        <w:t xml:space="preserve"> to manage and respond to multiple issues raised by a resident. </w:t>
      </w:r>
    </w:p>
    <w:p w14:paraId="1E7E8BCC" w14:textId="1BDB22AA" w:rsidR="00B20F04" w:rsidRDefault="00B963C3" w:rsidP="00B20F04">
      <w:pPr>
        <w:spacing w:before="240"/>
      </w:pPr>
      <w:r>
        <w:t xml:space="preserve">Greater analysis to understand how </w:t>
      </w:r>
      <w:r w:rsidR="00B20F04">
        <w:t xml:space="preserve">Damp and Mould </w:t>
      </w:r>
      <w:r>
        <w:t>issues are handled</w:t>
      </w:r>
    </w:p>
    <w:p w14:paraId="77C5DF2E" w14:textId="7FFAEC26" w:rsidR="00B20F04" w:rsidRDefault="00B963C3" w:rsidP="00B20F04">
      <w:pPr>
        <w:spacing w:before="240"/>
      </w:pPr>
      <w:r>
        <w:t>E</w:t>
      </w:r>
      <w:r w:rsidR="00B20F04">
        <w:t>ngage</w:t>
      </w:r>
      <w:r>
        <w:t>d</w:t>
      </w:r>
      <w:r w:rsidR="00B20F04">
        <w:t xml:space="preserve"> with House</w:t>
      </w:r>
      <w:r>
        <w:t xml:space="preserve"> </w:t>
      </w:r>
      <w:r w:rsidR="00B20F04">
        <w:t xml:space="preserve">Mark </w:t>
      </w:r>
      <w:r w:rsidR="00885FB9">
        <w:t>to</w:t>
      </w:r>
      <w:r w:rsidR="00B20F04">
        <w:t xml:space="preserve"> submit monthly data</w:t>
      </w:r>
      <w:r w:rsidR="00885FB9">
        <w:t xml:space="preserve"> in order</w:t>
      </w:r>
      <w:r w:rsidR="00B20F04">
        <w:t xml:space="preserve"> to help benchmark with other social housing providers.</w:t>
      </w:r>
    </w:p>
    <w:p w14:paraId="24BF5CF1" w14:textId="4F2A1E78" w:rsidR="00633871" w:rsidRDefault="00B20F04" w:rsidP="00B20F04">
      <w:pPr>
        <w:spacing w:before="240"/>
      </w:pPr>
      <w:r>
        <w:t xml:space="preserve"> </w:t>
      </w:r>
      <w:r w:rsidR="00885FB9">
        <w:t>Developed a c</w:t>
      </w:r>
      <w:r>
        <w:t xml:space="preserve">omplaints satisfaction survey </w:t>
      </w:r>
      <w:r w:rsidR="00885FB9">
        <w:t>to capture feedback on complaint handling.</w:t>
      </w:r>
    </w:p>
    <w:p w14:paraId="0492B253" w14:textId="77777777" w:rsidR="00633871" w:rsidRDefault="00633871" w:rsidP="00FE0AE1">
      <w:pPr>
        <w:spacing w:before="240"/>
      </w:pPr>
    </w:p>
    <w:p w14:paraId="530CA4C5" w14:textId="77777777" w:rsidR="00432926" w:rsidRDefault="00432926" w:rsidP="00FE0AE1">
      <w:pPr>
        <w:spacing w:before="240"/>
      </w:pPr>
    </w:p>
    <w:p w14:paraId="2EB59A00" w14:textId="77777777" w:rsidR="00885FB9" w:rsidRDefault="00885FB9">
      <w:pPr>
        <w:rPr>
          <w:b/>
          <w:bCs/>
        </w:rPr>
      </w:pPr>
      <w:r>
        <w:rPr>
          <w:b/>
          <w:bCs/>
        </w:rPr>
        <w:br w:type="page"/>
      </w:r>
    </w:p>
    <w:p w14:paraId="5FB4A5CF" w14:textId="6BE43EB6" w:rsidR="00907DA2" w:rsidRPr="00907DA2" w:rsidRDefault="00D46234" w:rsidP="00FE0AE1">
      <w:pPr>
        <w:spacing w:before="240"/>
        <w:rPr>
          <w:b/>
          <w:bCs/>
        </w:rPr>
      </w:pPr>
      <w:r>
        <w:rPr>
          <w:b/>
          <w:bCs/>
        </w:rPr>
        <w:lastRenderedPageBreak/>
        <w:t>2.</w:t>
      </w:r>
      <w:r w:rsidR="007440C9">
        <w:rPr>
          <w:b/>
          <w:bCs/>
        </w:rPr>
        <w:t>8</w:t>
      </w:r>
      <w:r>
        <w:rPr>
          <w:b/>
          <w:bCs/>
        </w:rPr>
        <w:t xml:space="preserve"> </w:t>
      </w:r>
      <w:r w:rsidR="00907DA2" w:rsidRPr="00907DA2">
        <w:rPr>
          <w:b/>
          <w:bCs/>
        </w:rPr>
        <w:t>People Directorate</w:t>
      </w:r>
    </w:p>
    <w:p w14:paraId="234C7358" w14:textId="64ACDD49" w:rsidR="00907DA2" w:rsidRDefault="0081016D" w:rsidP="00FE0AE1">
      <w:pPr>
        <w:spacing w:before="240"/>
        <w:rPr>
          <w:color w:val="FF0000"/>
        </w:rPr>
      </w:pPr>
      <w:r>
        <w:t>The table below shows the number of complaints received for the People Directorate</w:t>
      </w:r>
    </w:p>
    <w:p w14:paraId="1639C547" w14:textId="541E5B2E" w:rsidR="008D13EA" w:rsidRDefault="008D13EA" w:rsidP="00FE0AE1">
      <w:pPr>
        <w:spacing w:before="240"/>
        <w:rPr>
          <w:color w:val="FF0000"/>
        </w:rPr>
      </w:pPr>
      <w:r w:rsidRPr="008D13EA">
        <w:rPr>
          <w:noProof/>
        </w:rPr>
        <w:drawing>
          <wp:inline distT="0" distB="0" distL="0" distR="0" wp14:anchorId="2906CD4C" wp14:editId="0BF64605">
            <wp:extent cx="5970257"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608" cy="1524855"/>
                    </a:xfrm>
                    <a:prstGeom prst="rect">
                      <a:avLst/>
                    </a:prstGeom>
                    <a:noFill/>
                    <a:ln>
                      <a:noFill/>
                    </a:ln>
                  </pic:spPr>
                </pic:pic>
              </a:graphicData>
            </a:graphic>
          </wp:inline>
        </w:drawing>
      </w:r>
    </w:p>
    <w:p w14:paraId="43C51F50" w14:textId="77777777" w:rsidR="00907DA2" w:rsidRDefault="00907DA2" w:rsidP="00FE0AE1">
      <w:pPr>
        <w:spacing w:before="240"/>
        <w:rPr>
          <w:color w:val="FF0000"/>
        </w:rPr>
      </w:pPr>
    </w:p>
    <w:p w14:paraId="0855A270" w14:textId="77777777" w:rsidR="000D12B3" w:rsidRPr="000A0D34" w:rsidRDefault="004473AC" w:rsidP="008E1A0D">
      <w:pPr>
        <w:spacing w:before="240"/>
      </w:pPr>
      <w:r w:rsidRPr="000A0D34">
        <w:t xml:space="preserve">There were </w:t>
      </w:r>
      <w:r w:rsidR="008E1A0D" w:rsidRPr="000A0D34">
        <w:t xml:space="preserve">69 Stage </w:t>
      </w:r>
      <w:r w:rsidRPr="000A0D34">
        <w:t>I</w:t>
      </w:r>
      <w:r w:rsidR="008E1A0D" w:rsidRPr="000A0D34">
        <w:t xml:space="preserve"> complaints</w:t>
      </w:r>
      <w:r w:rsidRPr="000A0D34">
        <w:t xml:space="preserve"> within Childrens’</w:t>
      </w:r>
      <w:r w:rsidR="000D12B3" w:rsidRPr="000A0D34">
        <w:t xml:space="preserve"> Services and these fell into two categories:</w:t>
      </w:r>
    </w:p>
    <w:p w14:paraId="4A9BFAED" w14:textId="7A1FCF05" w:rsidR="00F65D6A" w:rsidRPr="000A0D34" w:rsidRDefault="00405F7F" w:rsidP="008E1A0D">
      <w:pPr>
        <w:spacing w:before="240"/>
      </w:pPr>
      <w:r w:rsidRPr="000A0D34">
        <w:t xml:space="preserve">Education and SEN accounted for </w:t>
      </w:r>
      <w:r w:rsidR="008E1A0D" w:rsidRPr="000A0D34">
        <w:t>26</w:t>
      </w:r>
      <w:r w:rsidRPr="000A0D34">
        <w:t xml:space="preserve"> complaints</w:t>
      </w:r>
      <w:r w:rsidR="00F65D6A" w:rsidRPr="000A0D34">
        <w:t xml:space="preserve"> where the complainant was unhappy </w:t>
      </w:r>
      <w:r w:rsidR="00327889" w:rsidRPr="000A0D34">
        <w:t>with the education provision allocated to their child.</w:t>
      </w:r>
    </w:p>
    <w:p w14:paraId="5631E4D5" w14:textId="7D7CD474" w:rsidR="000E53BF" w:rsidRPr="000A0D34" w:rsidRDefault="000E53BF" w:rsidP="008E1A0D">
      <w:pPr>
        <w:spacing w:before="240"/>
      </w:pPr>
      <w:r w:rsidRPr="000A0D34">
        <w:t xml:space="preserve">Childrens Social Care accounted for 43 complaints </w:t>
      </w:r>
      <w:r w:rsidR="00A91A31" w:rsidRPr="000A0D34">
        <w:t>where the complainant was dissatisfied with the professional judgement</w:t>
      </w:r>
      <w:r w:rsidR="00760252" w:rsidRPr="000A0D34">
        <w:t xml:space="preserve"> and decision made in assessments or reports.  In context, </w:t>
      </w:r>
      <w:r w:rsidR="00FA6711" w:rsidRPr="000A0D34">
        <w:t xml:space="preserve">there were 4,549 children open to the service throughout 2022/23 with </w:t>
      </w:r>
      <w:r w:rsidR="000A0D34" w:rsidRPr="000A0D34">
        <w:t>3,018 referrals made.</w:t>
      </w:r>
    </w:p>
    <w:p w14:paraId="2838E8DE" w14:textId="48E16EFB" w:rsidR="008E1A0D" w:rsidRPr="00D111E3" w:rsidRDefault="0099152B" w:rsidP="008E1A0D">
      <w:pPr>
        <w:spacing w:before="240"/>
      </w:pPr>
      <w:r w:rsidRPr="00D111E3">
        <w:t xml:space="preserve">There were </w:t>
      </w:r>
      <w:r w:rsidR="00CF72D3" w:rsidRPr="00D111E3">
        <w:t xml:space="preserve">116 stage I complaints </w:t>
      </w:r>
      <w:r w:rsidR="00891C83" w:rsidRPr="00D111E3">
        <w:t xml:space="preserve">made against </w:t>
      </w:r>
      <w:r w:rsidR="008E1A0D" w:rsidRPr="00D111E3">
        <w:t>Adult</w:t>
      </w:r>
      <w:r w:rsidR="00891C83" w:rsidRPr="00D111E3">
        <w:t xml:space="preserve"> Social Care.  This is in context of </w:t>
      </w:r>
      <w:r w:rsidR="00EB2094" w:rsidRPr="00D111E3">
        <w:t>9,599 requests for a service being made with 4,220 adults receiving long term care alongside 1,698 receiving short term care.</w:t>
      </w:r>
    </w:p>
    <w:p w14:paraId="61D9556E" w14:textId="77777777" w:rsidR="00E5517E" w:rsidRPr="00D111E3" w:rsidRDefault="006245ED" w:rsidP="008E1A0D">
      <w:pPr>
        <w:spacing w:before="240"/>
      </w:pPr>
      <w:r w:rsidRPr="00D111E3">
        <w:t xml:space="preserve">The predominant theme is </w:t>
      </w:r>
      <w:r w:rsidR="003166EF" w:rsidRPr="00D111E3">
        <w:t xml:space="preserve">the charge for care.  This includes </w:t>
      </w:r>
      <w:r w:rsidR="008E1A0D" w:rsidRPr="00D111E3">
        <w:t>concerns with the financial assessment process and outcome, information regarding paying for care, invoices and financial advice</w:t>
      </w:r>
      <w:r w:rsidR="00E5517E" w:rsidRPr="00D111E3">
        <w:t>.</w:t>
      </w:r>
    </w:p>
    <w:p w14:paraId="034057DA" w14:textId="1F4633E3" w:rsidR="00E5517E" w:rsidRPr="00D111E3" w:rsidRDefault="00E5517E" w:rsidP="008E1A0D">
      <w:pPr>
        <w:spacing w:before="240"/>
      </w:pPr>
      <w:r w:rsidRPr="00D111E3">
        <w:t>Although response times are lo</w:t>
      </w:r>
      <w:r w:rsidR="00175DC2" w:rsidRPr="00D111E3">
        <w:t xml:space="preserve">nger than those in other services, it should be mentioned that the issues </w:t>
      </w:r>
      <w:r w:rsidR="00485601" w:rsidRPr="00D111E3">
        <w:t>tend to be more complex, requiring investigation usually by social workers with already high case loads.  During this time, residents are updated with progress.</w:t>
      </w:r>
    </w:p>
    <w:p w14:paraId="197864E9" w14:textId="77777777" w:rsidR="00F20071" w:rsidRPr="00D111E3" w:rsidRDefault="000A0D34" w:rsidP="000A0D34">
      <w:pPr>
        <w:spacing w:before="240"/>
      </w:pPr>
      <w:r w:rsidRPr="00D111E3">
        <w:t>The learning from complaints</w:t>
      </w:r>
      <w:r w:rsidR="00F20071" w:rsidRPr="00D111E3">
        <w:t xml:space="preserve"> </w:t>
      </w:r>
      <w:r w:rsidRPr="00D111E3">
        <w:t>include</w:t>
      </w:r>
      <w:r w:rsidR="00F20071" w:rsidRPr="00D111E3">
        <w:t>s</w:t>
      </w:r>
    </w:p>
    <w:p w14:paraId="752BEEF0" w14:textId="12910534" w:rsidR="00100F8E" w:rsidRPr="00D111E3" w:rsidRDefault="00390376" w:rsidP="00F20071">
      <w:pPr>
        <w:pStyle w:val="ListParagraph"/>
        <w:numPr>
          <w:ilvl w:val="0"/>
          <w:numId w:val="22"/>
        </w:numPr>
        <w:spacing w:before="240"/>
        <w:rPr>
          <w:color w:val="auto"/>
          <w:sz w:val="24"/>
          <w:szCs w:val="24"/>
        </w:rPr>
      </w:pPr>
      <w:r w:rsidRPr="00D111E3">
        <w:rPr>
          <w:color w:val="auto"/>
          <w:sz w:val="24"/>
          <w:szCs w:val="24"/>
        </w:rPr>
        <w:t>Further</w:t>
      </w:r>
      <w:r w:rsidR="00F20071" w:rsidRPr="00D111E3">
        <w:rPr>
          <w:color w:val="auto"/>
          <w:sz w:val="24"/>
          <w:szCs w:val="24"/>
        </w:rPr>
        <w:t xml:space="preserve"> awareness </w:t>
      </w:r>
      <w:r w:rsidR="00100F8E" w:rsidRPr="00D111E3">
        <w:rPr>
          <w:color w:val="auto"/>
          <w:sz w:val="24"/>
          <w:szCs w:val="24"/>
        </w:rPr>
        <w:t>of staff to complete reviews on the IT system in a timely manner</w:t>
      </w:r>
    </w:p>
    <w:p w14:paraId="588E3DE4" w14:textId="7996BF5C" w:rsidR="004D515E" w:rsidRPr="00D111E3" w:rsidRDefault="00390376" w:rsidP="00F20071">
      <w:pPr>
        <w:pStyle w:val="ListParagraph"/>
        <w:numPr>
          <w:ilvl w:val="0"/>
          <w:numId w:val="22"/>
        </w:numPr>
        <w:spacing w:before="240"/>
        <w:rPr>
          <w:color w:val="auto"/>
          <w:sz w:val="24"/>
          <w:szCs w:val="24"/>
        </w:rPr>
      </w:pPr>
      <w:r w:rsidRPr="00D111E3">
        <w:rPr>
          <w:color w:val="auto"/>
          <w:sz w:val="24"/>
          <w:szCs w:val="24"/>
        </w:rPr>
        <w:t>C</w:t>
      </w:r>
      <w:r w:rsidR="00100F8E" w:rsidRPr="00D111E3">
        <w:rPr>
          <w:color w:val="auto"/>
          <w:sz w:val="24"/>
          <w:szCs w:val="24"/>
        </w:rPr>
        <w:t xml:space="preserve">onsultation </w:t>
      </w:r>
      <w:r w:rsidR="004D515E" w:rsidRPr="00D111E3">
        <w:rPr>
          <w:color w:val="auto"/>
          <w:sz w:val="24"/>
          <w:szCs w:val="24"/>
        </w:rPr>
        <w:t xml:space="preserve">with care leavers </w:t>
      </w:r>
      <w:r w:rsidR="000A0D34" w:rsidRPr="00D111E3">
        <w:rPr>
          <w:color w:val="auto"/>
          <w:sz w:val="24"/>
          <w:szCs w:val="24"/>
        </w:rPr>
        <w:t>regarding their pathway plan</w:t>
      </w:r>
    </w:p>
    <w:p w14:paraId="4887B4E0" w14:textId="16AAC750" w:rsidR="000A0D34" w:rsidRPr="00D111E3" w:rsidRDefault="004D515E" w:rsidP="00F20071">
      <w:pPr>
        <w:pStyle w:val="ListParagraph"/>
        <w:numPr>
          <w:ilvl w:val="0"/>
          <w:numId w:val="22"/>
        </w:numPr>
        <w:spacing w:before="240"/>
        <w:rPr>
          <w:color w:val="auto"/>
          <w:sz w:val="24"/>
          <w:szCs w:val="24"/>
        </w:rPr>
      </w:pPr>
      <w:r w:rsidRPr="00D111E3">
        <w:rPr>
          <w:color w:val="auto"/>
          <w:sz w:val="24"/>
          <w:szCs w:val="24"/>
        </w:rPr>
        <w:t xml:space="preserve">Greater </w:t>
      </w:r>
      <w:r w:rsidR="00390376" w:rsidRPr="00D111E3">
        <w:rPr>
          <w:color w:val="auto"/>
          <w:sz w:val="24"/>
          <w:szCs w:val="24"/>
        </w:rPr>
        <w:t xml:space="preserve">adherence </w:t>
      </w:r>
      <w:r w:rsidR="000A0D34" w:rsidRPr="00D111E3">
        <w:rPr>
          <w:color w:val="auto"/>
          <w:sz w:val="24"/>
          <w:szCs w:val="24"/>
        </w:rPr>
        <w:t>to statutory timescales.</w:t>
      </w:r>
    </w:p>
    <w:p w14:paraId="2D3A252D" w14:textId="77777777" w:rsidR="00D111E3" w:rsidRPr="00D111E3" w:rsidRDefault="007E6A16" w:rsidP="005138DA">
      <w:pPr>
        <w:pStyle w:val="ListParagraph"/>
        <w:numPr>
          <w:ilvl w:val="0"/>
          <w:numId w:val="22"/>
        </w:numPr>
        <w:spacing w:before="240"/>
        <w:rPr>
          <w:color w:val="auto"/>
          <w:sz w:val="24"/>
          <w:szCs w:val="24"/>
        </w:rPr>
      </w:pPr>
      <w:r w:rsidRPr="00D111E3">
        <w:rPr>
          <w:color w:val="auto"/>
          <w:sz w:val="24"/>
          <w:szCs w:val="24"/>
        </w:rPr>
        <w:t xml:space="preserve">A refresh of complaints handling and feedback processes </w:t>
      </w:r>
      <w:r w:rsidR="00D111E3" w:rsidRPr="00D111E3">
        <w:rPr>
          <w:color w:val="auto"/>
          <w:sz w:val="24"/>
          <w:szCs w:val="24"/>
        </w:rPr>
        <w:t xml:space="preserve">so that there is a </w:t>
      </w:r>
      <w:r w:rsidR="000A0D34" w:rsidRPr="00D111E3">
        <w:rPr>
          <w:color w:val="auto"/>
          <w:sz w:val="24"/>
          <w:szCs w:val="24"/>
        </w:rPr>
        <w:t xml:space="preserve">robust and effective system in place for ensuring timely and quality responses and for monitoring purposes. </w:t>
      </w:r>
    </w:p>
    <w:p w14:paraId="0E6B8928" w14:textId="427D8BD8" w:rsidR="00D111E3" w:rsidRPr="00D111E3" w:rsidRDefault="00D111E3" w:rsidP="005138DA">
      <w:pPr>
        <w:pStyle w:val="ListParagraph"/>
        <w:numPr>
          <w:ilvl w:val="0"/>
          <w:numId w:val="22"/>
        </w:numPr>
        <w:spacing w:before="240"/>
        <w:rPr>
          <w:color w:val="auto"/>
          <w:sz w:val="24"/>
          <w:szCs w:val="24"/>
        </w:rPr>
      </w:pPr>
      <w:r w:rsidRPr="00D111E3">
        <w:rPr>
          <w:color w:val="auto"/>
          <w:sz w:val="24"/>
          <w:szCs w:val="24"/>
        </w:rPr>
        <w:t>Better clarity on charging for care provision</w:t>
      </w:r>
    </w:p>
    <w:p w14:paraId="062669E6" w14:textId="2E46C7FA" w:rsidR="00FF649F" w:rsidRPr="0098584B" w:rsidRDefault="00D46234" w:rsidP="00FF649F">
      <w:pPr>
        <w:spacing w:before="240"/>
        <w:rPr>
          <w:b/>
          <w:bCs/>
        </w:rPr>
      </w:pPr>
      <w:r>
        <w:rPr>
          <w:b/>
          <w:bCs/>
        </w:rPr>
        <w:lastRenderedPageBreak/>
        <w:t>2.</w:t>
      </w:r>
      <w:r w:rsidR="007440C9">
        <w:rPr>
          <w:b/>
          <w:bCs/>
        </w:rPr>
        <w:t>9</w:t>
      </w:r>
      <w:r>
        <w:rPr>
          <w:b/>
          <w:bCs/>
        </w:rPr>
        <w:t xml:space="preserve"> </w:t>
      </w:r>
      <w:r w:rsidR="00FF649F" w:rsidRPr="0098584B">
        <w:rPr>
          <w:b/>
          <w:bCs/>
        </w:rPr>
        <w:t>Local Government &amp; Social Care Ombudsman (LGSCO)</w:t>
      </w:r>
    </w:p>
    <w:p w14:paraId="0AB9628B" w14:textId="77777777" w:rsidR="00FF649F" w:rsidRPr="0046441A" w:rsidRDefault="00FF649F" w:rsidP="00FF649F">
      <w:pPr>
        <w:spacing w:before="240"/>
      </w:pPr>
      <w:r w:rsidRPr="0046441A">
        <w:t>The LGSCO received 95 complaints last year and investigated twenty-three (24%) of these.</w:t>
      </w:r>
      <w:r>
        <w:t xml:space="preserve">  </w:t>
      </w:r>
      <w:r w:rsidRPr="0046441A">
        <w:t xml:space="preserve">Of the 23 investigated, seventeen (74%) of these were upheld. This compares to an uphold rate of 77% against similar-sized Local Authorities.  </w:t>
      </w:r>
    </w:p>
    <w:p w14:paraId="050614A3" w14:textId="77777777" w:rsidR="00FF649F" w:rsidRPr="0046441A" w:rsidRDefault="00FF649F" w:rsidP="00FF649F">
      <w:pPr>
        <w:spacing w:before="240"/>
      </w:pPr>
      <w:r w:rsidRPr="0046441A">
        <w:t>In all cases the Council complied with the LGSCO recommendations. </w:t>
      </w:r>
    </w:p>
    <w:p w14:paraId="55527626" w14:textId="77777777" w:rsidR="00FF649F" w:rsidRDefault="00FF649F" w:rsidP="00FF649F">
      <w:pPr>
        <w:spacing w:before="240"/>
      </w:pPr>
      <w:r w:rsidRPr="0046441A">
        <w:t>In two instances (12%) the Council had provided a satisfactory remedy before the complaint reached the Ombudsman.</w:t>
      </w:r>
      <w:r>
        <w:t xml:space="preserve">  Although this is a higher rate than all but one of our NW neighbours, the national average was 15% highlighting that there is further work to be done to resolve issues as soon as possible. </w:t>
      </w:r>
    </w:p>
    <w:p w14:paraId="578B6DD7" w14:textId="77777777" w:rsidR="00FF649F" w:rsidRDefault="00FF649F" w:rsidP="00FF649F">
      <w:pPr>
        <w:spacing w:before="240"/>
      </w:pPr>
      <w:r>
        <w:t>The table below shows the service areas from where the LGSCO received complaints.</w:t>
      </w:r>
    </w:p>
    <w:p w14:paraId="1B01A960" w14:textId="77777777" w:rsidR="00FF649F" w:rsidRDefault="00FF649F" w:rsidP="00FF649F">
      <w:pPr>
        <w:spacing w:before="240"/>
      </w:pPr>
      <w:r>
        <w:rPr>
          <w:noProof/>
        </w:rPr>
        <w:drawing>
          <wp:inline distT="0" distB="0" distL="0" distR="0" wp14:anchorId="4F3E0A85" wp14:editId="1A266955">
            <wp:extent cx="3622518" cy="227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8868" cy="2280465"/>
                    </a:xfrm>
                    <a:prstGeom prst="rect">
                      <a:avLst/>
                    </a:prstGeom>
                    <a:noFill/>
                  </pic:spPr>
                </pic:pic>
              </a:graphicData>
            </a:graphic>
          </wp:inline>
        </w:drawing>
      </w:r>
    </w:p>
    <w:p w14:paraId="29CB7A4E" w14:textId="77777777" w:rsidR="00FF649F" w:rsidRPr="008C0102" w:rsidRDefault="00FF649F" w:rsidP="00FF649F">
      <w:pPr>
        <w:spacing w:before="240"/>
      </w:pPr>
      <w:r>
        <w:t>T</w:t>
      </w:r>
      <w:r w:rsidRPr="008C0102">
        <w:t xml:space="preserve">he Ombudsman </w:t>
      </w:r>
      <w:r>
        <w:t xml:space="preserve">has been </w:t>
      </w:r>
      <w:r w:rsidRPr="008C0102">
        <w:t>more selective about the complaints they look at in detail</w:t>
      </w:r>
      <w:r>
        <w:t xml:space="preserve"> due to resource constraints</w:t>
      </w:r>
      <w:r w:rsidRPr="008C0102">
        <w:t>,</w:t>
      </w:r>
      <w:r>
        <w:t xml:space="preserve"> so have prioritised those</w:t>
      </w:r>
      <w:r w:rsidRPr="008C0102">
        <w:t xml:space="preserve"> where it is in the public interest to investigate. </w:t>
      </w:r>
    </w:p>
    <w:p w14:paraId="7E1FBF2D" w14:textId="77777777" w:rsidR="00FF649F" w:rsidRDefault="00FF649F" w:rsidP="00FF649F">
      <w:pPr>
        <w:spacing w:before="240"/>
      </w:pPr>
      <w:r w:rsidRPr="008C0102">
        <w:t>It has meant that changes in uphold rates this year has increased as they are less likely to carry out investigations on ‘borderline’ issues, so are naturally finding a higher proportion of fault overall. </w:t>
      </w:r>
      <w:r>
        <w:t>There has been a</w:t>
      </w:r>
      <w:r w:rsidRPr="008C0102">
        <w:t>n industry increase from 71% to 77%</w:t>
      </w:r>
      <w:r>
        <w:t xml:space="preserve">.  </w:t>
      </w:r>
      <w:r w:rsidRPr="008C0102">
        <w:t>Harrow saw a slight decrease from last year’s uphold rate of 78% which is pleasing considering the bar was raised.</w:t>
      </w:r>
    </w:p>
    <w:p w14:paraId="22F60E12" w14:textId="77777777" w:rsidR="00FF649F" w:rsidRPr="00591683" w:rsidRDefault="00FF649F" w:rsidP="00FF649F">
      <w:pPr>
        <w:spacing w:before="240"/>
      </w:pPr>
      <w:r>
        <w:t>O</w:t>
      </w:r>
      <w:r w:rsidRPr="00591683">
        <w:t>f the 72 complaints rejected</w:t>
      </w:r>
      <w:r>
        <w:t xml:space="preserve"> by the LGSCO</w:t>
      </w:r>
      <w:r w:rsidRPr="00591683">
        <w:t xml:space="preserve">, </w:t>
      </w:r>
    </w:p>
    <w:p w14:paraId="54869198" w14:textId="77777777" w:rsidR="00FF649F" w:rsidRPr="00591683" w:rsidRDefault="00FF649F" w:rsidP="00FF649F">
      <w:pPr>
        <w:pStyle w:val="ListParagraph"/>
        <w:numPr>
          <w:ilvl w:val="0"/>
          <w:numId w:val="18"/>
        </w:numPr>
        <w:spacing w:before="240"/>
      </w:pPr>
      <w:r>
        <w:t>3</w:t>
      </w:r>
      <w:r w:rsidRPr="00591683">
        <w:t xml:space="preserve">0 were premature (had not followed the Council’s complaints process) </w:t>
      </w:r>
    </w:p>
    <w:p w14:paraId="498C51E1" w14:textId="77777777" w:rsidR="00FF649F" w:rsidRPr="00591683" w:rsidRDefault="00FF649F" w:rsidP="00FF649F">
      <w:pPr>
        <w:pStyle w:val="ListParagraph"/>
        <w:numPr>
          <w:ilvl w:val="0"/>
          <w:numId w:val="18"/>
        </w:numPr>
        <w:spacing w:before="240"/>
      </w:pPr>
      <w:r w:rsidRPr="00591683">
        <w:t>30 were closed after initial enquiries (usually because there is a separate process/tribunal to follow)</w:t>
      </w:r>
    </w:p>
    <w:p w14:paraId="272E0087" w14:textId="5BDE7547" w:rsidR="00FF649F" w:rsidRPr="00591683" w:rsidRDefault="00FF649F" w:rsidP="00FF649F">
      <w:pPr>
        <w:pStyle w:val="ListParagraph"/>
        <w:numPr>
          <w:ilvl w:val="0"/>
          <w:numId w:val="18"/>
        </w:numPr>
        <w:spacing w:before="240"/>
      </w:pPr>
      <w:r w:rsidRPr="00591683">
        <w:t xml:space="preserve">6 cases were rejected as no fault was evident (the complainant </w:t>
      </w:r>
      <w:r w:rsidR="00FD766C">
        <w:t>did not agree with the council’s</w:t>
      </w:r>
      <w:r w:rsidRPr="00591683">
        <w:t xml:space="preserve"> decision)</w:t>
      </w:r>
    </w:p>
    <w:p w14:paraId="2AD70214" w14:textId="77777777" w:rsidR="00FF649F" w:rsidRPr="00591683" w:rsidRDefault="00FF649F" w:rsidP="00FF649F">
      <w:pPr>
        <w:pStyle w:val="ListParagraph"/>
        <w:numPr>
          <w:ilvl w:val="0"/>
          <w:numId w:val="18"/>
        </w:numPr>
        <w:spacing w:before="240"/>
      </w:pPr>
      <w:r w:rsidRPr="00591683">
        <w:t>3 complainants were redirected to the appropriate body by the LGSCO</w:t>
      </w:r>
    </w:p>
    <w:p w14:paraId="1577743D" w14:textId="77777777" w:rsidR="00FF649F" w:rsidRDefault="00FF649F" w:rsidP="00FF649F">
      <w:pPr>
        <w:pStyle w:val="ListParagraph"/>
        <w:numPr>
          <w:ilvl w:val="0"/>
          <w:numId w:val="18"/>
        </w:numPr>
        <w:spacing w:before="240"/>
      </w:pPr>
      <w:r w:rsidRPr="00591683">
        <w:t>3 cases were rejected due to insufficient information and no follow up from the complainant</w:t>
      </w:r>
    </w:p>
    <w:p w14:paraId="22B2F9C4" w14:textId="77777777" w:rsidR="00FF649F" w:rsidRDefault="00FF649F" w:rsidP="00FF649F">
      <w:pPr>
        <w:spacing w:before="240"/>
      </w:pPr>
      <w:r>
        <w:lastRenderedPageBreak/>
        <w:t xml:space="preserve">The table below gives a perspective of the ratio of complaints received that end up with the LGSCO.  </w:t>
      </w:r>
    </w:p>
    <w:p w14:paraId="4724911F" w14:textId="77777777" w:rsidR="00FF649F" w:rsidRDefault="00FF649F" w:rsidP="00FF649F">
      <w:pPr>
        <w:spacing w:before="240"/>
      </w:pPr>
      <w:r>
        <w:rPr>
          <w:noProof/>
        </w:rPr>
        <w:drawing>
          <wp:inline distT="0" distB="0" distL="0" distR="0" wp14:anchorId="4EA3B3A0" wp14:editId="792EE17B">
            <wp:extent cx="3002547" cy="18097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9367" cy="1813860"/>
                    </a:xfrm>
                    <a:prstGeom prst="rect">
                      <a:avLst/>
                    </a:prstGeom>
                    <a:noFill/>
                  </pic:spPr>
                </pic:pic>
              </a:graphicData>
            </a:graphic>
          </wp:inline>
        </w:drawing>
      </w:r>
    </w:p>
    <w:p w14:paraId="60E01F96" w14:textId="77777777" w:rsidR="00FF649F" w:rsidRDefault="00FF649F" w:rsidP="00FF649F">
      <w:pPr>
        <w:spacing w:before="240"/>
      </w:pPr>
      <w:r w:rsidRPr="00101BFB">
        <w:t>When filtered by service, there is no pattern</w:t>
      </w:r>
      <w:r>
        <w:t xml:space="preserve"> or trends</w:t>
      </w:r>
      <w:r w:rsidRPr="00101BFB">
        <w:t xml:space="preserve"> in</w:t>
      </w:r>
      <w:r>
        <w:t xml:space="preserve"> the type of complaint received by the </w:t>
      </w:r>
      <w:r w:rsidRPr="00101BFB">
        <w:t>LGSCO</w:t>
      </w:r>
      <w:r>
        <w:t xml:space="preserve">.  </w:t>
      </w:r>
    </w:p>
    <w:p w14:paraId="1128A8B8" w14:textId="77777777" w:rsidR="00FF649F" w:rsidRDefault="00FF649F" w:rsidP="00FF649F">
      <w:pPr>
        <w:spacing w:before="240"/>
      </w:pPr>
      <w:r>
        <w:t>The Ombudsman did point out that t</w:t>
      </w:r>
      <w:r w:rsidRPr="00C061ED">
        <w:t>here were occasions when the Council did not respond in a timely manner to the LGSCO which delayed their response</w:t>
      </w:r>
      <w:r>
        <w:t xml:space="preserve"> and se</w:t>
      </w:r>
      <w:r w:rsidRPr="00C061ED">
        <w:t>ven of the LGSCO recommendations were not completed within a timely manner</w:t>
      </w:r>
      <w:r>
        <w:t xml:space="preserve">.  These issues have been addressed with the relevant services to prevent a further occurrence in the future and an escalation process is in place to highlight any potential delays. </w:t>
      </w:r>
    </w:p>
    <w:p w14:paraId="5FDD4B8C" w14:textId="77777777" w:rsidR="00FF649F" w:rsidRDefault="00FF649F" w:rsidP="00FF649F">
      <w:pPr>
        <w:spacing w:before="240"/>
      </w:pPr>
      <w:r>
        <w:t>In comparison to our North West London neighbours, Harrow performed well in the number of complaints being upheld after investigation by the LGSCO. The National Average was 77%</w:t>
      </w:r>
    </w:p>
    <w:tbl>
      <w:tblPr>
        <w:tblStyle w:val="PlainTable3"/>
        <w:tblW w:w="8647" w:type="dxa"/>
        <w:tblLook w:val="04A0" w:firstRow="1" w:lastRow="0" w:firstColumn="1" w:lastColumn="0" w:noHBand="0" w:noVBand="1"/>
      </w:tblPr>
      <w:tblGrid>
        <w:gridCol w:w="2074"/>
        <w:gridCol w:w="2075"/>
        <w:gridCol w:w="2075"/>
        <w:gridCol w:w="297"/>
        <w:gridCol w:w="1979"/>
        <w:gridCol w:w="147"/>
      </w:tblGrid>
      <w:tr w:rsidR="00FF649F" w14:paraId="39B60362" w14:textId="77777777" w:rsidTr="007C72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vAlign w:val="center"/>
          </w:tcPr>
          <w:p w14:paraId="47A8163F" w14:textId="77777777" w:rsidR="00FF649F" w:rsidRPr="002D35E0" w:rsidRDefault="00FF649F" w:rsidP="007C7238">
            <w:pPr>
              <w:spacing w:before="240"/>
              <w:jc w:val="center"/>
              <w:rPr>
                <w:sz w:val="16"/>
                <w:szCs w:val="16"/>
              </w:rPr>
            </w:pPr>
            <w:r>
              <w:t>.</w:t>
            </w:r>
          </w:p>
        </w:tc>
        <w:tc>
          <w:tcPr>
            <w:tcW w:w="2075" w:type="dxa"/>
            <w:vAlign w:val="center"/>
          </w:tcPr>
          <w:p w14:paraId="166A474E" w14:textId="77777777" w:rsidR="00FF649F" w:rsidRPr="002D35E0" w:rsidRDefault="00FF649F" w:rsidP="007C7238">
            <w:pPr>
              <w:spacing w:before="240"/>
              <w:jc w:val="center"/>
              <w:cnfStyle w:val="100000000000" w:firstRow="1" w:lastRow="0" w:firstColumn="0" w:lastColumn="0" w:oddVBand="0" w:evenVBand="0" w:oddHBand="0" w:evenHBand="0" w:firstRowFirstColumn="0" w:firstRowLastColumn="0" w:lastRowFirstColumn="0" w:lastRowLastColumn="0"/>
              <w:rPr>
                <w:sz w:val="16"/>
                <w:szCs w:val="16"/>
              </w:rPr>
            </w:pPr>
            <w:r w:rsidRPr="002D35E0">
              <w:rPr>
                <w:sz w:val="16"/>
                <w:szCs w:val="16"/>
              </w:rPr>
              <w:t>Percentage (number) Upheld</w:t>
            </w:r>
          </w:p>
        </w:tc>
        <w:tc>
          <w:tcPr>
            <w:tcW w:w="2372" w:type="dxa"/>
            <w:gridSpan w:val="2"/>
            <w:vAlign w:val="center"/>
          </w:tcPr>
          <w:p w14:paraId="063E3BB4" w14:textId="77777777" w:rsidR="00FF649F" w:rsidRPr="002D35E0" w:rsidRDefault="00FF649F" w:rsidP="007C7238">
            <w:pPr>
              <w:spacing w:before="240"/>
              <w:jc w:val="center"/>
              <w:cnfStyle w:val="100000000000" w:firstRow="1" w:lastRow="0" w:firstColumn="0" w:lastColumn="0" w:oddVBand="0" w:evenVBand="0" w:oddHBand="0" w:evenHBand="0" w:firstRowFirstColumn="0" w:firstRowLastColumn="0" w:lastRowFirstColumn="0" w:lastRowLastColumn="0"/>
              <w:rPr>
                <w:sz w:val="16"/>
                <w:szCs w:val="16"/>
              </w:rPr>
            </w:pPr>
            <w:r w:rsidRPr="002D35E0">
              <w:rPr>
                <w:sz w:val="16"/>
                <w:szCs w:val="16"/>
              </w:rPr>
              <w:t>Compliance with LGSCO recommendation</w:t>
            </w:r>
          </w:p>
        </w:tc>
        <w:tc>
          <w:tcPr>
            <w:tcW w:w="2126" w:type="dxa"/>
            <w:gridSpan w:val="2"/>
            <w:vAlign w:val="center"/>
          </w:tcPr>
          <w:p w14:paraId="1C851CFE" w14:textId="77777777" w:rsidR="00FF649F" w:rsidRPr="002D35E0" w:rsidRDefault="00FF649F" w:rsidP="007C7238">
            <w:pPr>
              <w:spacing w:before="24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Satisfactory remedy already provided by Council</w:t>
            </w:r>
          </w:p>
        </w:tc>
      </w:tr>
      <w:tr w:rsidR="00FF649F" w14:paraId="340A22FC" w14:textId="77777777" w:rsidTr="007C7238">
        <w:trPr>
          <w:gridAfter w:val="1"/>
          <w:cnfStyle w:val="000000100000" w:firstRow="0" w:lastRow="0" w:firstColumn="0" w:lastColumn="0" w:oddVBand="0" w:evenVBand="0" w:oddHBand="1" w:evenHBand="0" w:firstRowFirstColumn="0" w:firstRowLastColumn="0" w:lastRowFirstColumn="0" w:lastRowLastColumn="0"/>
          <w:wAfter w:w="147" w:type="dxa"/>
        </w:trPr>
        <w:tc>
          <w:tcPr>
            <w:cnfStyle w:val="001000000000" w:firstRow="0" w:lastRow="0" w:firstColumn="1" w:lastColumn="0" w:oddVBand="0" w:evenVBand="0" w:oddHBand="0" w:evenHBand="0" w:firstRowFirstColumn="0" w:firstRowLastColumn="0" w:lastRowFirstColumn="0" w:lastRowLastColumn="0"/>
            <w:tcW w:w="2074" w:type="dxa"/>
            <w:vAlign w:val="center"/>
          </w:tcPr>
          <w:p w14:paraId="16AC888B" w14:textId="77777777" w:rsidR="00FF649F" w:rsidRDefault="00FF649F" w:rsidP="007C7238">
            <w:pPr>
              <w:spacing w:before="240"/>
            </w:pPr>
            <w:r>
              <w:t>Hounslow</w:t>
            </w:r>
          </w:p>
        </w:tc>
        <w:tc>
          <w:tcPr>
            <w:tcW w:w="2075" w:type="dxa"/>
            <w:vAlign w:val="center"/>
          </w:tcPr>
          <w:p w14:paraId="73FEE9FA"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 xml:space="preserve">86% </w:t>
            </w:r>
            <w:r w:rsidRPr="00F847BF">
              <w:rPr>
                <w:sz w:val="16"/>
                <w:szCs w:val="16"/>
              </w:rPr>
              <w:t>(15)</w:t>
            </w:r>
          </w:p>
        </w:tc>
        <w:tc>
          <w:tcPr>
            <w:tcW w:w="2075" w:type="dxa"/>
            <w:vAlign w:val="center"/>
          </w:tcPr>
          <w:p w14:paraId="1562FF7A"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100%</w:t>
            </w:r>
          </w:p>
        </w:tc>
        <w:tc>
          <w:tcPr>
            <w:tcW w:w="2276" w:type="dxa"/>
            <w:gridSpan w:val="2"/>
            <w:vAlign w:val="center"/>
          </w:tcPr>
          <w:p w14:paraId="11EFB547"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13%</w:t>
            </w:r>
          </w:p>
        </w:tc>
      </w:tr>
      <w:tr w:rsidR="00FF649F" w14:paraId="698C7881" w14:textId="77777777" w:rsidTr="007C7238">
        <w:trPr>
          <w:gridAfter w:val="1"/>
          <w:wAfter w:w="147" w:type="dxa"/>
        </w:trPr>
        <w:tc>
          <w:tcPr>
            <w:cnfStyle w:val="001000000000" w:firstRow="0" w:lastRow="0" w:firstColumn="1" w:lastColumn="0" w:oddVBand="0" w:evenVBand="0" w:oddHBand="0" w:evenHBand="0" w:firstRowFirstColumn="0" w:firstRowLastColumn="0" w:lastRowFirstColumn="0" w:lastRowLastColumn="0"/>
            <w:tcW w:w="2074" w:type="dxa"/>
            <w:vAlign w:val="center"/>
          </w:tcPr>
          <w:p w14:paraId="03ECEE40" w14:textId="77777777" w:rsidR="00FF649F" w:rsidRDefault="00FF649F" w:rsidP="007C7238">
            <w:pPr>
              <w:spacing w:before="240"/>
            </w:pPr>
            <w:r>
              <w:t>Harrow</w:t>
            </w:r>
          </w:p>
        </w:tc>
        <w:tc>
          <w:tcPr>
            <w:tcW w:w="2075" w:type="dxa"/>
            <w:vAlign w:val="center"/>
          </w:tcPr>
          <w:p w14:paraId="337CB26A" w14:textId="77777777" w:rsidR="00FF649F" w:rsidRDefault="00FF649F" w:rsidP="007C7238">
            <w:pPr>
              <w:spacing w:before="240"/>
              <w:jc w:val="center"/>
              <w:cnfStyle w:val="000000000000" w:firstRow="0" w:lastRow="0" w:firstColumn="0" w:lastColumn="0" w:oddVBand="0" w:evenVBand="0" w:oddHBand="0" w:evenHBand="0" w:firstRowFirstColumn="0" w:firstRowLastColumn="0" w:lastRowFirstColumn="0" w:lastRowLastColumn="0"/>
            </w:pPr>
            <w:r>
              <w:t xml:space="preserve">74% </w:t>
            </w:r>
            <w:r w:rsidRPr="00F847BF">
              <w:rPr>
                <w:sz w:val="16"/>
                <w:szCs w:val="16"/>
              </w:rPr>
              <w:t>(17)</w:t>
            </w:r>
          </w:p>
        </w:tc>
        <w:tc>
          <w:tcPr>
            <w:tcW w:w="2075" w:type="dxa"/>
            <w:vAlign w:val="center"/>
          </w:tcPr>
          <w:p w14:paraId="51D569F1" w14:textId="77777777" w:rsidR="00FF649F" w:rsidRDefault="00FF649F" w:rsidP="007C7238">
            <w:pPr>
              <w:spacing w:before="240"/>
              <w:jc w:val="center"/>
              <w:cnfStyle w:val="000000000000" w:firstRow="0" w:lastRow="0" w:firstColumn="0" w:lastColumn="0" w:oddVBand="0" w:evenVBand="0" w:oddHBand="0" w:evenHBand="0" w:firstRowFirstColumn="0" w:firstRowLastColumn="0" w:lastRowFirstColumn="0" w:lastRowLastColumn="0"/>
            </w:pPr>
            <w:r>
              <w:t>100%</w:t>
            </w:r>
          </w:p>
        </w:tc>
        <w:tc>
          <w:tcPr>
            <w:tcW w:w="2276" w:type="dxa"/>
            <w:gridSpan w:val="2"/>
            <w:vAlign w:val="center"/>
          </w:tcPr>
          <w:p w14:paraId="034E2FCD" w14:textId="77777777" w:rsidR="00FF649F" w:rsidRDefault="00FF649F" w:rsidP="007C7238">
            <w:pPr>
              <w:spacing w:before="240"/>
              <w:jc w:val="center"/>
              <w:cnfStyle w:val="000000000000" w:firstRow="0" w:lastRow="0" w:firstColumn="0" w:lastColumn="0" w:oddVBand="0" w:evenVBand="0" w:oddHBand="0" w:evenHBand="0" w:firstRowFirstColumn="0" w:firstRowLastColumn="0" w:lastRowFirstColumn="0" w:lastRowLastColumn="0"/>
            </w:pPr>
            <w:r>
              <w:t>12%</w:t>
            </w:r>
          </w:p>
        </w:tc>
      </w:tr>
      <w:tr w:rsidR="00FF649F" w14:paraId="5FFBA443" w14:textId="77777777" w:rsidTr="007C7238">
        <w:trPr>
          <w:gridAfter w:val="1"/>
          <w:cnfStyle w:val="000000100000" w:firstRow="0" w:lastRow="0" w:firstColumn="0" w:lastColumn="0" w:oddVBand="0" w:evenVBand="0" w:oddHBand="1" w:evenHBand="0" w:firstRowFirstColumn="0" w:firstRowLastColumn="0" w:lastRowFirstColumn="0" w:lastRowLastColumn="0"/>
          <w:wAfter w:w="147" w:type="dxa"/>
        </w:trPr>
        <w:tc>
          <w:tcPr>
            <w:cnfStyle w:val="001000000000" w:firstRow="0" w:lastRow="0" w:firstColumn="1" w:lastColumn="0" w:oddVBand="0" w:evenVBand="0" w:oddHBand="0" w:evenHBand="0" w:firstRowFirstColumn="0" w:firstRowLastColumn="0" w:lastRowFirstColumn="0" w:lastRowLastColumn="0"/>
            <w:tcW w:w="2074" w:type="dxa"/>
            <w:vAlign w:val="center"/>
          </w:tcPr>
          <w:p w14:paraId="4CF7CD13" w14:textId="77777777" w:rsidR="00FF649F" w:rsidRDefault="00FF649F" w:rsidP="007C7238">
            <w:pPr>
              <w:spacing w:before="240"/>
            </w:pPr>
            <w:r>
              <w:t>Brent</w:t>
            </w:r>
          </w:p>
        </w:tc>
        <w:tc>
          <w:tcPr>
            <w:tcW w:w="2075" w:type="dxa"/>
            <w:vAlign w:val="center"/>
          </w:tcPr>
          <w:p w14:paraId="59832512"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 xml:space="preserve">76% </w:t>
            </w:r>
            <w:r w:rsidRPr="00F847BF">
              <w:rPr>
                <w:sz w:val="16"/>
                <w:szCs w:val="16"/>
              </w:rPr>
              <w:t>(22)</w:t>
            </w:r>
          </w:p>
        </w:tc>
        <w:tc>
          <w:tcPr>
            <w:tcW w:w="2075" w:type="dxa"/>
            <w:vAlign w:val="center"/>
          </w:tcPr>
          <w:p w14:paraId="17321535"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100%</w:t>
            </w:r>
          </w:p>
        </w:tc>
        <w:tc>
          <w:tcPr>
            <w:tcW w:w="2276" w:type="dxa"/>
            <w:gridSpan w:val="2"/>
            <w:vAlign w:val="center"/>
          </w:tcPr>
          <w:p w14:paraId="77645AC8"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41%</w:t>
            </w:r>
          </w:p>
        </w:tc>
      </w:tr>
      <w:tr w:rsidR="00FF649F" w14:paraId="2BD48A48" w14:textId="77777777" w:rsidTr="007C7238">
        <w:trPr>
          <w:gridAfter w:val="1"/>
          <w:wAfter w:w="147" w:type="dxa"/>
        </w:trPr>
        <w:tc>
          <w:tcPr>
            <w:cnfStyle w:val="001000000000" w:firstRow="0" w:lastRow="0" w:firstColumn="1" w:lastColumn="0" w:oddVBand="0" w:evenVBand="0" w:oddHBand="0" w:evenHBand="0" w:firstRowFirstColumn="0" w:firstRowLastColumn="0" w:lastRowFirstColumn="0" w:lastRowLastColumn="0"/>
            <w:tcW w:w="2074" w:type="dxa"/>
            <w:vAlign w:val="center"/>
          </w:tcPr>
          <w:p w14:paraId="53D9970C" w14:textId="77777777" w:rsidR="00FF649F" w:rsidRDefault="00FF649F" w:rsidP="007C7238">
            <w:pPr>
              <w:spacing w:before="240"/>
            </w:pPr>
            <w:r>
              <w:t>Barnet</w:t>
            </w:r>
          </w:p>
        </w:tc>
        <w:tc>
          <w:tcPr>
            <w:tcW w:w="2075" w:type="dxa"/>
            <w:vAlign w:val="center"/>
          </w:tcPr>
          <w:p w14:paraId="5D849919" w14:textId="77777777" w:rsidR="00FF649F" w:rsidRDefault="00FF649F" w:rsidP="007C7238">
            <w:pPr>
              <w:spacing w:before="240"/>
              <w:jc w:val="center"/>
              <w:cnfStyle w:val="000000000000" w:firstRow="0" w:lastRow="0" w:firstColumn="0" w:lastColumn="0" w:oddVBand="0" w:evenVBand="0" w:oddHBand="0" w:evenHBand="0" w:firstRowFirstColumn="0" w:firstRowLastColumn="0" w:lastRowFirstColumn="0" w:lastRowLastColumn="0"/>
            </w:pPr>
            <w:r>
              <w:t xml:space="preserve">78% </w:t>
            </w:r>
            <w:r w:rsidRPr="00F847BF">
              <w:rPr>
                <w:sz w:val="16"/>
                <w:szCs w:val="16"/>
              </w:rPr>
              <w:t>(39)</w:t>
            </w:r>
          </w:p>
        </w:tc>
        <w:tc>
          <w:tcPr>
            <w:tcW w:w="2075" w:type="dxa"/>
            <w:vAlign w:val="center"/>
          </w:tcPr>
          <w:p w14:paraId="42F249F2" w14:textId="77777777" w:rsidR="00FF649F" w:rsidRDefault="00FF649F" w:rsidP="007C7238">
            <w:pPr>
              <w:spacing w:before="240"/>
              <w:jc w:val="center"/>
              <w:cnfStyle w:val="000000000000" w:firstRow="0" w:lastRow="0" w:firstColumn="0" w:lastColumn="0" w:oddVBand="0" w:evenVBand="0" w:oddHBand="0" w:evenHBand="0" w:firstRowFirstColumn="0" w:firstRowLastColumn="0" w:lastRowFirstColumn="0" w:lastRowLastColumn="0"/>
            </w:pPr>
            <w:r>
              <w:t>100%</w:t>
            </w:r>
          </w:p>
        </w:tc>
        <w:tc>
          <w:tcPr>
            <w:tcW w:w="2276" w:type="dxa"/>
            <w:gridSpan w:val="2"/>
            <w:vAlign w:val="center"/>
          </w:tcPr>
          <w:p w14:paraId="640B9809" w14:textId="77777777" w:rsidR="00FF649F" w:rsidRDefault="00FF649F" w:rsidP="007C7238">
            <w:pPr>
              <w:spacing w:before="240"/>
              <w:jc w:val="center"/>
              <w:cnfStyle w:val="000000000000" w:firstRow="0" w:lastRow="0" w:firstColumn="0" w:lastColumn="0" w:oddVBand="0" w:evenVBand="0" w:oddHBand="0" w:evenHBand="0" w:firstRowFirstColumn="0" w:firstRowLastColumn="0" w:lastRowFirstColumn="0" w:lastRowLastColumn="0"/>
            </w:pPr>
            <w:r>
              <w:t>8%</w:t>
            </w:r>
          </w:p>
        </w:tc>
      </w:tr>
      <w:tr w:rsidR="00FF649F" w14:paraId="7EE06701" w14:textId="77777777" w:rsidTr="007C7238">
        <w:trPr>
          <w:gridAfter w:val="1"/>
          <w:cnfStyle w:val="000000100000" w:firstRow="0" w:lastRow="0" w:firstColumn="0" w:lastColumn="0" w:oddVBand="0" w:evenVBand="0" w:oddHBand="1" w:evenHBand="0" w:firstRowFirstColumn="0" w:firstRowLastColumn="0" w:lastRowFirstColumn="0" w:lastRowLastColumn="0"/>
          <w:wAfter w:w="147" w:type="dxa"/>
        </w:trPr>
        <w:tc>
          <w:tcPr>
            <w:cnfStyle w:val="001000000000" w:firstRow="0" w:lastRow="0" w:firstColumn="1" w:lastColumn="0" w:oddVBand="0" w:evenVBand="0" w:oddHBand="0" w:evenHBand="0" w:firstRowFirstColumn="0" w:firstRowLastColumn="0" w:lastRowFirstColumn="0" w:lastRowLastColumn="0"/>
            <w:tcW w:w="2074" w:type="dxa"/>
            <w:vAlign w:val="center"/>
          </w:tcPr>
          <w:p w14:paraId="13C9AD0C" w14:textId="77777777" w:rsidR="00FF649F" w:rsidRDefault="00FF649F" w:rsidP="007C7238">
            <w:pPr>
              <w:spacing w:before="240"/>
            </w:pPr>
            <w:r>
              <w:t>Hillingdon</w:t>
            </w:r>
          </w:p>
        </w:tc>
        <w:tc>
          <w:tcPr>
            <w:tcW w:w="2075" w:type="dxa"/>
            <w:vAlign w:val="center"/>
          </w:tcPr>
          <w:p w14:paraId="3B006460"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 xml:space="preserve">86% </w:t>
            </w:r>
            <w:r w:rsidRPr="00F847BF">
              <w:rPr>
                <w:sz w:val="16"/>
                <w:szCs w:val="16"/>
              </w:rPr>
              <w:t>(24)</w:t>
            </w:r>
          </w:p>
        </w:tc>
        <w:tc>
          <w:tcPr>
            <w:tcW w:w="2075" w:type="dxa"/>
            <w:vAlign w:val="center"/>
          </w:tcPr>
          <w:p w14:paraId="19178780"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100%</w:t>
            </w:r>
          </w:p>
        </w:tc>
        <w:tc>
          <w:tcPr>
            <w:tcW w:w="2276" w:type="dxa"/>
            <w:gridSpan w:val="2"/>
            <w:vAlign w:val="center"/>
          </w:tcPr>
          <w:p w14:paraId="36B5FE0F" w14:textId="77777777" w:rsidR="00FF649F" w:rsidRDefault="00FF649F" w:rsidP="007C7238">
            <w:pPr>
              <w:spacing w:before="240"/>
              <w:jc w:val="center"/>
              <w:cnfStyle w:val="000000100000" w:firstRow="0" w:lastRow="0" w:firstColumn="0" w:lastColumn="0" w:oddVBand="0" w:evenVBand="0" w:oddHBand="1" w:evenHBand="0" w:firstRowFirstColumn="0" w:firstRowLastColumn="0" w:lastRowFirstColumn="0" w:lastRowLastColumn="0"/>
            </w:pPr>
            <w:r>
              <w:t>8%</w:t>
            </w:r>
          </w:p>
        </w:tc>
      </w:tr>
    </w:tbl>
    <w:p w14:paraId="01DC7E3D" w14:textId="77777777" w:rsidR="00FF649F" w:rsidRDefault="00FF649F" w:rsidP="00FF649F">
      <w:pPr>
        <w:spacing w:before="240"/>
      </w:pPr>
    </w:p>
    <w:p w14:paraId="02E39ACB" w14:textId="77777777" w:rsidR="00FF649F" w:rsidRDefault="00FF649F" w:rsidP="00FF649F">
      <w:pPr>
        <w:pStyle w:val="Default"/>
        <w:rPr>
          <w:i/>
          <w:iCs/>
          <w:sz w:val="22"/>
          <w:szCs w:val="22"/>
        </w:rPr>
      </w:pPr>
    </w:p>
    <w:p w14:paraId="70B60CCD" w14:textId="77777777" w:rsidR="00FF649F" w:rsidRDefault="00FF649F" w:rsidP="00FF649F">
      <w:pPr>
        <w:pStyle w:val="Default"/>
        <w:rPr>
          <w:i/>
          <w:iCs/>
        </w:rPr>
      </w:pPr>
      <w:r>
        <w:rPr>
          <w:rFonts w:eastAsia="Times New Roman" w:cs="Times New Roman"/>
          <w:color w:val="auto"/>
          <w:szCs w:val="20"/>
          <w:lang w:eastAsia="en-US"/>
        </w:rPr>
        <w:t xml:space="preserve">There were </w:t>
      </w:r>
      <w:r w:rsidRPr="003B0866">
        <w:rPr>
          <w:rFonts w:eastAsia="Times New Roman" w:cs="Times New Roman"/>
          <w:color w:val="auto"/>
          <w:szCs w:val="20"/>
          <w:lang w:eastAsia="en-US"/>
        </w:rPr>
        <w:t xml:space="preserve">two cases where the Council had failed to correctly signpost complainants to </w:t>
      </w:r>
      <w:r>
        <w:rPr>
          <w:rFonts w:eastAsia="Times New Roman" w:cs="Times New Roman"/>
          <w:color w:val="auto"/>
          <w:szCs w:val="20"/>
          <w:lang w:eastAsia="en-US"/>
        </w:rPr>
        <w:t xml:space="preserve">the LGSCO </w:t>
      </w:r>
      <w:r w:rsidRPr="003B0866">
        <w:rPr>
          <w:rFonts w:eastAsia="Times New Roman" w:cs="Times New Roman"/>
          <w:color w:val="auto"/>
          <w:szCs w:val="20"/>
          <w:lang w:eastAsia="en-US"/>
        </w:rPr>
        <w:t xml:space="preserve">at the end of the local complaints process. </w:t>
      </w:r>
      <w:r>
        <w:rPr>
          <w:rFonts w:eastAsia="Times New Roman" w:cs="Times New Roman"/>
          <w:color w:val="auto"/>
          <w:szCs w:val="20"/>
          <w:lang w:eastAsia="en-US"/>
        </w:rPr>
        <w:t>This issue has been addressed with the relevant service area to ensure that the correct templates are used so that all relevant information is shared with the customer.</w:t>
      </w:r>
    </w:p>
    <w:p w14:paraId="13160803" w14:textId="77777777" w:rsidR="00FF649F" w:rsidRDefault="00FF649F" w:rsidP="00FF649F">
      <w:pPr>
        <w:spacing w:before="240"/>
      </w:pPr>
      <w:r>
        <w:t>The LGSCO annual letter can be found in Appendix B</w:t>
      </w:r>
    </w:p>
    <w:p w14:paraId="1F3B7D38" w14:textId="77777777" w:rsidR="006978A8" w:rsidRDefault="006978A8" w:rsidP="003D2FFE">
      <w:pPr>
        <w:spacing w:before="240"/>
      </w:pPr>
    </w:p>
    <w:p w14:paraId="4C624EBB" w14:textId="77777777" w:rsidR="006978A8" w:rsidRDefault="006978A8" w:rsidP="003D2FFE">
      <w:pPr>
        <w:spacing w:before="240"/>
      </w:pPr>
    </w:p>
    <w:p w14:paraId="4F8F7334" w14:textId="6C727F09" w:rsidR="0098584B" w:rsidRPr="00123861" w:rsidRDefault="00D46234" w:rsidP="003D2FFE">
      <w:pPr>
        <w:spacing w:before="240"/>
        <w:rPr>
          <w:b/>
          <w:bCs/>
        </w:rPr>
      </w:pPr>
      <w:r>
        <w:rPr>
          <w:b/>
          <w:bCs/>
        </w:rPr>
        <w:lastRenderedPageBreak/>
        <w:t>2.</w:t>
      </w:r>
      <w:r w:rsidR="007440C9">
        <w:rPr>
          <w:b/>
          <w:bCs/>
        </w:rPr>
        <w:t>10</w:t>
      </w:r>
      <w:r>
        <w:rPr>
          <w:b/>
          <w:bCs/>
        </w:rPr>
        <w:t xml:space="preserve"> </w:t>
      </w:r>
      <w:r w:rsidR="00123861" w:rsidRPr="00123861">
        <w:rPr>
          <w:b/>
          <w:bCs/>
        </w:rPr>
        <w:t>Conclusion</w:t>
      </w:r>
      <w:r w:rsidR="00D140A8">
        <w:rPr>
          <w:b/>
          <w:bCs/>
        </w:rPr>
        <w:t xml:space="preserve"> </w:t>
      </w:r>
      <w:r w:rsidR="00945E64">
        <w:rPr>
          <w:b/>
          <w:bCs/>
        </w:rPr>
        <w:t xml:space="preserve">- </w:t>
      </w:r>
      <w:r w:rsidR="00D140A8">
        <w:rPr>
          <w:b/>
          <w:bCs/>
        </w:rPr>
        <w:t>corporate complaints</w:t>
      </w:r>
    </w:p>
    <w:p w14:paraId="54833170" w14:textId="0C065FE1" w:rsidR="00123861" w:rsidRPr="00167DEC" w:rsidRDefault="00D63E23" w:rsidP="00AC3177">
      <w:pPr>
        <w:spacing w:before="240"/>
      </w:pPr>
      <w:r w:rsidRPr="00167DEC">
        <w:t xml:space="preserve">The Council </w:t>
      </w:r>
      <w:r w:rsidR="003C3A78" w:rsidRPr="00167DEC">
        <w:t xml:space="preserve">strives </w:t>
      </w:r>
      <w:r w:rsidR="00AC3177" w:rsidRPr="00167DEC">
        <w:t>to deliver high quality services to all residents and customers and welcome all feedback on</w:t>
      </w:r>
      <w:r w:rsidR="003C3A78" w:rsidRPr="00167DEC">
        <w:t xml:space="preserve"> </w:t>
      </w:r>
      <w:r w:rsidR="00AC3177" w:rsidRPr="00167DEC">
        <w:t>our services and suggestions for improvement.</w:t>
      </w:r>
    </w:p>
    <w:p w14:paraId="351141F9" w14:textId="77777777" w:rsidR="00415068" w:rsidRPr="00167DEC" w:rsidRDefault="00415068" w:rsidP="00415068">
      <w:pPr>
        <w:spacing w:before="240"/>
      </w:pPr>
      <w:r w:rsidRPr="00167DEC">
        <w:t xml:space="preserve">Staff work hard to understand the reasons for the complaints, and where a consistent theme or issue has been established, have taken action to prevent the poor service that triggered those complaints from being repeated. </w:t>
      </w:r>
    </w:p>
    <w:p w14:paraId="11CB9D84" w14:textId="0B54F580" w:rsidR="00AD6C74" w:rsidRPr="00167DEC" w:rsidRDefault="00AD6C74" w:rsidP="00AD6C74">
      <w:pPr>
        <w:spacing w:before="240"/>
      </w:pPr>
      <w:r w:rsidRPr="00167DEC">
        <w:t>The</w:t>
      </w:r>
      <w:r w:rsidR="003C3A78" w:rsidRPr="00167DEC">
        <w:t xml:space="preserve"> Corporate Complaints </w:t>
      </w:r>
      <w:r w:rsidR="00467E33" w:rsidRPr="00167DEC">
        <w:t xml:space="preserve">officer continues to </w:t>
      </w:r>
      <w:r w:rsidRPr="00167DEC">
        <w:t>review data on a monthly and quarterly basis</w:t>
      </w:r>
      <w:r w:rsidR="00467E33" w:rsidRPr="00167DEC">
        <w:t xml:space="preserve"> </w:t>
      </w:r>
      <w:r w:rsidRPr="00167DEC">
        <w:t>to establish themes and trends.</w:t>
      </w:r>
      <w:r w:rsidR="00626472" w:rsidRPr="00167DEC">
        <w:t xml:space="preserve">  The Complaint co-ordinators network ensures that </w:t>
      </w:r>
      <w:r w:rsidR="001A5592" w:rsidRPr="00167DEC">
        <w:t>issues can be discussed and best practise shared.</w:t>
      </w:r>
    </w:p>
    <w:p w14:paraId="7F484EAF" w14:textId="0B267399" w:rsidR="00AD6C74" w:rsidRPr="00167DEC" w:rsidRDefault="00B22AD7" w:rsidP="00AD6C74">
      <w:pPr>
        <w:spacing w:before="240"/>
      </w:pPr>
      <w:r w:rsidRPr="00167DEC">
        <w:t xml:space="preserve">Data </w:t>
      </w:r>
      <w:r w:rsidR="00A12F41" w:rsidRPr="00167DEC">
        <w:t xml:space="preserve">relating </w:t>
      </w:r>
      <w:r w:rsidRPr="00167DEC">
        <w:t xml:space="preserve">to </w:t>
      </w:r>
      <w:r w:rsidR="00686FDD" w:rsidRPr="00167DEC">
        <w:t>c</w:t>
      </w:r>
      <w:r w:rsidRPr="00167DEC">
        <w:t xml:space="preserve">omplaint responses </w:t>
      </w:r>
      <w:r w:rsidR="0001714D" w:rsidRPr="00167DEC">
        <w:t>is a flagship action and wider p</w:t>
      </w:r>
      <w:r w:rsidR="005F2E27" w:rsidRPr="00167DEC">
        <w:t xml:space="preserve">erformance data </w:t>
      </w:r>
      <w:r w:rsidR="00AD6C74" w:rsidRPr="00167DEC">
        <w:t>is reported on a quarterly basis to Directors and Heads of Service to prompt</w:t>
      </w:r>
      <w:r w:rsidR="005F2E27" w:rsidRPr="00167DEC">
        <w:t xml:space="preserve"> </w:t>
      </w:r>
      <w:r w:rsidR="00AD6C74" w:rsidRPr="00167DEC">
        <w:t>reflection on what services need to do to improve, change or prevent a reoccurrence.</w:t>
      </w:r>
      <w:r w:rsidRPr="00167DEC">
        <w:t xml:space="preserve">  </w:t>
      </w:r>
      <w:r w:rsidR="00AD6C74" w:rsidRPr="00167DEC">
        <w:t>Particular attention is focused on responding appropriately to complaints first time and</w:t>
      </w:r>
      <w:r w:rsidR="0001714D" w:rsidRPr="00167DEC">
        <w:t xml:space="preserve"> </w:t>
      </w:r>
      <w:r w:rsidR="00AD6C74" w:rsidRPr="00167DEC">
        <w:t>reducing complaints being escalated to the higher stages.</w:t>
      </w:r>
    </w:p>
    <w:p w14:paraId="227B048F" w14:textId="7E8D486E" w:rsidR="00123861" w:rsidRPr="00167DEC" w:rsidRDefault="00AD6C74" w:rsidP="00AD6C74">
      <w:pPr>
        <w:spacing w:before="240"/>
      </w:pPr>
      <w:r w:rsidRPr="00167DEC">
        <w:t xml:space="preserve">This reporting has led to some constructive discussions with Senior </w:t>
      </w:r>
      <w:r w:rsidR="0001714D" w:rsidRPr="00167DEC">
        <w:t>M</w:t>
      </w:r>
      <w:r w:rsidRPr="00167DEC">
        <w:t>anagement, and as a</w:t>
      </w:r>
      <w:r w:rsidR="0001714D" w:rsidRPr="00167DEC">
        <w:t xml:space="preserve"> </w:t>
      </w:r>
      <w:r w:rsidRPr="00167DEC">
        <w:t>result we have been able to take feedback and apply it across many areas of the complaints</w:t>
      </w:r>
      <w:r w:rsidR="0001714D" w:rsidRPr="00167DEC">
        <w:t xml:space="preserve"> </w:t>
      </w:r>
      <w:r w:rsidRPr="00167DEC">
        <w:t>process.</w:t>
      </w:r>
    </w:p>
    <w:p w14:paraId="296FF450" w14:textId="58AD53F9" w:rsidR="00A41D18" w:rsidRDefault="00A41D18" w:rsidP="00A41D18">
      <w:pPr>
        <w:spacing w:before="240"/>
      </w:pPr>
      <w:r w:rsidRPr="00167DEC">
        <w:t>The Customer Services</w:t>
      </w:r>
      <w:r w:rsidR="00DE0CC4" w:rsidRPr="00167DEC">
        <w:t xml:space="preserve"> team</w:t>
      </w:r>
      <w:r w:rsidRPr="00167DEC">
        <w:t xml:space="preserve"> </w:t>
      </w:r>
      <w:r w:rsidR="00DE0CC4" w:rsidRPr="00167DEC">
        <w:t xml:space="preserve">continue to provide </w:t>
      </w:r>
      <w:r w:rsidRPr="00167DEC">
        <w:t>training and support to Officers within the Council, with a strong focus on Customer Service</w:t>
      </w:r>
      <w:r w:rsidR="00DE0CC4" w:rsidRPr="00167DEC">
        <w:t xml:space="preserve"> ethos </w:t>
      </w:r>
      <w:r w:rsidRPr="00167DEC">
        <w:t xml:space="preserve">to ensure that a consistently </w:t>
      </w:r>
      <w:r w:rsidR="00DE0CC4" w:rsidRPr="00167DEC">
        <w:t>high</w:t>
      </w:r>
      <w:r w:rsidRPr="00167DEC">
        <w:t xml:space="preserve"> level of customer service is provided to</w:t>
      </w:r>
      <w:r w:rsidR="00DE0CC4" w:rsidRPr="00167DEC">
        <w:t xml:space="preserve"> our residents and service users. </w:t>
      </w:r>
    </w:p>
    <w:p w14:paraId="77E3D58A" w14:textId="77777777" w:rsidR="006773DE" w:rsidRDefault="006773DE" w:rsidP="00A41D18">
      <w:pPr>
        <w:spacing w:before="240"/>
      </w:pPr>
    </w:p>
    <w:p w14:paraId="7EDEF1B7" w14:textId="7F806577" w:rsidR="006773DE" w:rsidRPr="00DC32ED" w:rsidRDefault="006773DE" w:rsidP="006773DE">
      <w:pPr>
        <w:contextualSpacing/>
        <w:outlineLvl w:val="0"/>
        <w:rPr>
          <w:b/>
          <w:bCs/>
          <w:sz w:val="28"/>
          <w:szCs w:val="28"/>
        </w:rPr>
      </w:pPr>
      <w:r w:rsidRPr="00DC32ED">
        <w:rPr>
          <w:b/>
          <w:bCs/>
          <w:sz w:val="28"/>
          <w:szCs w:val="28"/>
        </w:rPr>
        <w:t>2.1</w:t>
      </w:r>
      <w:r w:rsidR="007440C9">
        <w:rPr>
          <w:b/>
          <w:bCs/>
          <w:sz w:val="28"/>
          <w:szCs w:val="28"/>
        </w:rPr>
        <w:t>1</w:t>
      </w:r>
      <w:r w:rsidRPr="00DC32ED">
        <w:rPr>
          <w:b/>
          <w:bCs/>
          <w:sz w:val="28"/>
          <w:szCs w:val="28"/>
        </w:rPr>
        <w:t xml:space="preserve"> Complaints against  Members</w:t>
      </w:r>
      <w:r w:rsidR="00014518">
        <w:rPr>
          <w:b/>
          <w:bCs/>
          <w:sz w:val="28"/>
          <w:szCs w:val="28"/>
        </w:rPr>
        <w:t xml:space="preserve"> 2022/2023</w:t>
      </w:r>
    </w:p>
    <w:p w14:paraId="49EC0213" w14:textId="77777777" w:rsidR="006773DE" w:rsidRDefault="006773DE" w:rsidP="006773DE">
      <w:pPr>
        <w:pStyle w:val="ListParagraph"/>
        <w:contextualSpacing/>
        <w:outlineLvl w:val="0"/>
        <w:rPr>
          <w:rFonts w:eastAsia="Times New Roman"/>
          <w:sz w:val="24"/>
          <w:szCs w:val="24"/>
        </w:rPr>
      </w:pPr>
    </w:p>
    <w:p w14:paraId="7E1871D5" w14:textId="069A9EB1" w:rsidR="006773DE" w:rsidRDefault="006773DE" w:rsidP="006773DE">
      <w:pPr>
        <w:contextualSpacing/>
        <w:outlineLvl w:val="0"/>
        <w:rPr>
          <w:szCs w:val="24"/>
        </w:rPr>
      </w:pPr>
      <w:r>
        <w:rPr>
          <w:szCs w:val="24"/>
        </w:rPr>
        <w:t xml:space="preserve">Four </w:t>
      </w:r>
      <w:r w:rsidRPr="006978A8">
        <w:rPr>
          <w:szCs w:val="24"/>
        </w:rPr>
        <w:t>complaints were dealt with during th</w:t>
      </w:r>
      <w:r w:rsidR="00014518">
        <w:rPr>
          <w:szCs w:val="24"/>
        </w:rPr>
        <w:t>e</w:t>
      </w:r>
      <w:r w:rsidRPr="006978A8">
        <w:rPr>
          <w:szCs w:val="24"/>
        </w:rPr>
        <w:t xml:space="preserve"> period</w:t>
      </w:r>
      <w:r w:rsidR="00014518">
        <w:rPr>
          <w:szCs w:val="24"/>
        </w:rPr>
        <w:t xml:space="preserve"> 1 April 2022 to 31 March 2023</w:t>
      </w:r>
      <w:r w:rsidRPr="006978A8">
        <w:rPr>
          <w:szCs w:val="24"/>
        </w:rPr>
        <w:t xml:space="preserve">, this compares to </w:t>
      </w:r>
      <w:r>
        <w:rPr>
          <w:szCs w:val="24"/>
        </w:rPr>
        <w:t xml:space="preserve">five </w:t>
      </w:r>
      <w:r w:rsidR="00763327">
        <w:rPr>
          <w:szCs w:val="24"/>
        </w:rPr>
        <w:t xml:space="preserve"> </w:t>
      </w:r>
      <w:r w:rsidRPr="006978A8">
        <w:rPr>
          <w:szCs w:val="24"/>
        </w:rPr>
        <w:t xml:space="preserve">complaints for the previous year. Historically in years with elections there tend to be more complaints. </w:t>
      </w:r>
      <w:r w:rsidRPr="005E3662">
        <w:rPr>
          <w:szCs w:val="24"/>
        </w:rPr>
        <w:t xml:space="preserve">One of the complaints the complainant did not provide any details.  In one case the resident did not respond  to further enquiries and in three cases no evidence was found of a breach.   </w:t>
      </w:r>
    </w:p>
    <w:p w14:paraId="0AD3FDE8" w14:textId="77777777" w:rsidR="006773DE" w:rsidRDefault="006773DE" w:rsidP="006773DE">
      <w:pPr>
        <w:contextualSpacing/>
        <w:outlineLvl w:val="0"/>
        <w:rPr>
          <w:szCs w:val="24"/>
        </w:rPr>
      </w:pPr>
    </w:p>
    <w:p w14:paraId="01C054C6" w14:textId="77777777" w:rsidR="006773DE" w:rsidRDefault="006773DE" w:rsidP="006773DE">
      <w:pPr>
        <w:contextualSpacing/>
        <w:outlineLvl w:val="0"/>
        <w:rPr>
          <w:szCs w:val="24"/>
        </w:rPr>
      </w:pPr>
      <w:r>
        <w:rPr>
          <w:szCs w:val="24"/>
        </w:rPr>
        <w:t xml:space="preserve">In order to deal with each complaint the Monitoring Officer contacts the member who is subject to the complaint and consults the Independent Person. The Independent Persons are appointed by council and were recruited after a member interview panel. </w:t>
      </w:r>
    </w:p>
    <w:p w14:paraId="4A80D8D7" w14:textId="77777777" w:rsidR="006773DE" w:rsidRDefault="006773DE" w:rsidP="006773DE">
      <w:pPr>
        <w:contextualSpacing/>
        <w:outlineLvl w:val="0"/>
        <w:rPr>
          <w:szCs w:val="24"/>
        </w:rPr>
      </w:pPr>
    </w:p>
    <w:p w14:paraId="4C0B90B1" w14:textId="77777777" w:rsidR="006773DE" w:rsidRDefault="006773DE" w:rsidP="006773DE">
      <w:pPr>
        <w:contextualSpacing/>
        <w:outlineLvl w:val="0"/>
      </w:pPr>
      <w:r>
        <w:rPr>
          <w:szCs w:val="24"/>
        </w:rPr>
        <w:t xml:space="preserve">Under the procedure for dealing with member </w:t>
      </w:r>
      <w:r>
        <w:t xml:space="preserve">the Monitoring Officer in consultation with the Independent Person is able to filter out complaints that: </w:t>
      </w:r>
    </w:p>
    <w:p w14:paraId="72BAA5F2" w14:textId="77777777" w:rsidR="006773DE" w:rsidRDefault="006773DE" w:rsidP="006773DE">
      <w:pPr>
        <w:contextualSpacing/>
        <w:outlineLvl w:val="0"/>
      </w:pPr>
    </w:p>
    <w:p w14:paraId="7D7D3856" w14:textId="77777777" w:rsidR="006773DE" w:rsidRPr="00DC32ED" w:rsidRDefault="006773DE" w:rsidP="006773DE">
      <w:pPr>
        <w:contextualSpacing/>
        <w:outlineLvl w:val="0"/>
      </w:pPr>
      <w:r>
        <w:t xml:space="preserve">• </w:t>
      </w:r>
      <w:r w:rsidRPr="00DC32ED">
        <w:t xml:space="preserve">do not fall within the code of conduct; </w:t>
      </w:r>
    </w:p>
    <w:p w14:paraId="47E72C29" w14:textId="77777777" w:rsidR="006773DE" w:rsidRPr="00DC32ED" w:rsidRDefault="006773DE" w:rsidP="006773DE">
      <w:pPr>
        <w:contextualSpacing/>
        <w:outlineLvl w:val="0"/>
      </w:pPr>
      <w:r w:rsidRPr="00DC32ED">
        <w:t xml:space="preserve">• are considered to be frivolous or vexatious; </w:t>
      </w:r>
    </w:p>
    <w:p w14:paraId="0A95F08C" w14:textId="77777777" w:rsidR="006773DE" w:rsidRPr="00DC32ED" w:rsidRDefault="006773DE" w:rsidP="006773DE">
      <w:pPr>
        <w:contextualSpacing/>
        <w:outlineLvl w:val="0"/>
      </w:pPr>
      <w:r w:rsidRPr="00DC32ED">
        <w:t xml:space="preserve">• are about events which took place more than 6 months’ prior to the receipt of the complaint by the Monitoring Officer, unless there are exceptional circumstances; and/ or </w:t>
      </w:r>
    </w:p>
    <w:p w14:paraId="3539E18F" w14:textId="77777777" w:rsidR="006773DE" w:rsidRPr="006978A8" w:rsidRDefault="006773DE" w:rsidP="006773DE">
      <w:pPr>
        <w:contextualSpacing/>
        <w:outlineLvl w:val="0"/>
        <w:rPr>
          <w:szCs w:val="24"/>
        </w:rPr>
      </w:pPr>
      <w:r w:rsidRPr="00DC32ED">
        <w:lastRenderedPageBreak/>
        <w:t>• do not merit further investigation on public interest grounds.</w:t>
      </w:r>
    </w:p>
    <w:p w14:paraId="088EF55B" w14:textId="77777777" w:rsidR="006773DE" w:rsidRPr="00DA0B4F" w:rsidRDefault="006773DE" w:rsidP="006773DE">
      <w:pPr>
        <w:pStyle w:val="ListParagraph"/>
        <w:outlineLvl w:val="0"/>
        <w:rPr>
          <w:rFonts w:eastAsia="Times New Roman"/>
          <w:sz w:val="24"/>
          <w:szCs w:val="24"/>
        </w:rPr>
      </w:pPr>
    </w:p>
    <w:p w14:paraId="6F6765B1" w14:textId="77777777" w:rsidR="006773DE" w:rsidRPr="00DA0B4F" w:rsidRDefault="006773DE" w:rsidP="006773DE">
      <w:pPr>
        <w:pStyle w:val="ListParagraph"/>
        <w:outlineLvl w:val="0"/>
        <w:rPr>
          <w:rFonts w:eastAsia="Times New Roman"/>
          <w:sz w:val="24"/>
          <w:szCs w:val="24"/>
          <w:highlight w:val="yellow"/>
        </w:rPr>
      </w:pPr>
    </w:p>
    <w:p w14:paraId="6CB53BFF" w14:textId="77777777" w:rsidR="006773DE" w:rsidRPr="00DA0B4F" w:rsidRDefault="006773DE" w:rsidP="006773DE">
      <w:pPr>
        <w:pStyle w:val="ListParagraph"/>
        <w:outlineLvl w:val="0"/>
        <w:rPr>
          <w:rFonts w:eastAsia="Times New Roman"/>
          <w:sz w:val="24"/>
          <w:szCs w:val="24"/>
          <w:highlight w:val="yellow"/>
        </w:rPr>
      </w:pPr>
    </w:p>
    <w:p w14:paraId="7FCB99D9" w14:textId="77777777" w:rsidR="006773DE" w:rsidRPr="00DA0B4F" w:rsidRDefault="006773DE" w:rsidP="006773DE">
      <w:pPr>
        <w:pStyle w:val="ListParagraph"/>
        <w:outlineLvl w:val="0"/>
        <w:rPr>
          <w:rFonts w:eastAsia="Times New Roman"/>
          <w:sz w:val="24"/>
          <w:szCs w:val="24"/>
        </w:rPr>
      </w:pPr>
      <w:r w:rsidRPr="00DA0B4F">
        <w:rPr>
          <w:rFonts w:eastAsia="Times New Roman"/>
          <w:sz w:val="24"/>
          <w:szCs w:val="24"/>
        </w:rPr>
        <w:t xml:space="preserve">For the period April 2022-March 2023 </w:t>
      </w:r>
    </w:p>
    <w:p w14:paraId="40DA0F8B" w14:textId="77777777" w:rsidR="006773DE" w:rsidRPr="00DA0B4F" w:rsidRDefault="006773DE" w:rsidP="006773DE">
      <w:pPr>
        <w:jc w:val="both"/>
        <w:outlineLvl w:val="0"/>
        <w:rPr>
          <w:rFonts w:cs="Arial"/>
        </w:rPr>
      </w:pPr>
    </w:p>
    <w:tbl>
      <w:tblPr>
        <w:tblW w:w="913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3"/>
        <w:gridCol w:w="2428"/>
        <w:gridCol w:w="4664"/>
      </w:tblGrid>
      <w:tr w:rsidR="006773DE" w:rsidRPr="00DA0B4F" w14:paraId="7C36EBCD" w14:textId="77777777" w:rsidTr="002E4251">
        <w:tc>
          <w:tcPr>
            <w:tcW w:w="2043" w:type="dxa"/>
          </w:tcPr>
          <w:p w14:paraId="08932F20" w14:textId="77777777" w:rsidR="006773DE" w:rsidRPr="00DA0B4F" w:rsidRDefault="006773DE" w:rsidP="002E4251">
            <w:pPr>
              <w:rPr>
                <w:rFonts w:cs="Arial"/>
                <w:b/>
                <w:bCs/>
              </w:rPr>
            </w:pPr>
            <w:r w:rsidRPr="00DA0B4F">
              <w:rPr>
                <w:rFonts w:cs="Arial"/>
                <w:b/>
                <w:bCs/>
              </w:rPr>
              <w:t>Complaint</w:t>
            </w:r>
          </w:p>
        </w:tc>
        <w:tc>
          <w:tcPr>
            <w:tcW w:w="2428" w:type="dxa"/>
            <w:tcMar>
              <w:top w:w="0" w:type="dxa"/>
              <w:left w:w="108" w:type="dxa"/>
              <w:bottom w:w="0" w:type="dxa"/>
              <w:right w:w="108" w:type="dxa"/>
            </w:tcMar>
          </w:tcPr>
          <w:p w14:paraId="11839A1F" w14:textId="77777777" w:rsidR="006773DE" w:rsidRPr="00DA0B4F" w:rsidRDefault="006773DE" w:rsidP="002E4251">
            <w:pPr>
              <w:rPr>
                <w:rFonts w:cs="Arial"/>
                <w:b/>
                <w:bCs/>
              </w:rPr>
            </w:pPr>
            <w:r>
              <w:rPr>
                <w:rFonts w:cs="Arial"/>
                <w:b/>
                <w:bCs/>
              </w:rPr>
              <w:t xml:space="preserve">Alleged </w:t>
            </w:r>
            <w:r w:rsidRPr="00DA0B4F">
              <w:rPr>
                <w:rFonts w:cs="Arial"/>
                <w:b/>
                <w:bCs/>
              </w:rPr>
              <w:t>Provisions of Code</w:t>
            </w:r>
            <w:r>
              <w:rPr>
                <w:rFonts w:cs="Arial"/>
                <w:b/>
                <w:bCs/>
              </w:rPr>
              <w:t xml:space="preserve"> engaged / allegation made by the resident</w:t>
            </w:r>
          </w:p>
          <w:p w14:paraId="00BC5349" w14:textId="77777777" w:rsidR="006773DE" w:rsidRPr="00DA0B4F" w:rsidRDefault="006773DE" w:rsidP="002E4251">
            <w:pPr>
              <w:rPr>
                <w:rFonts w:cs="Arial"/>
                <w:b/>
                <w:bCs/>
              </w:rPr>
            </w:pPr>
          </w:p>
        </w:tc>
        <w:tc>
          <w:tcPr>
            <w:tcW w:w="4664" w:type="dxa"/>
            <w:tcMar>
              <w:top w:w="0" w:type="dxa"/>
              <w:left w:w="108" w:type="dxa"/>
              <w:bottom w:w="0" w:type="dxa"/>
              <w:right w:w="108" w:type="dxa"/>
            </w:tcMar>
          </w:tcPr>
          <w:p w14:paraId="53D3B797" w14:textId="77777777" w:rsidR="006773DE" w:rsidRPr="00DA0B4F" w:rsidRDefault="006773DE" w:rsidP="002E4251">
            <w:pPr>
              <w:rPr>
                <w:rFonts w:cs="Arial"/>
                <w:b/>
                <w:bCs/>
              </w:rPr>
            </w:pPr>
            <w:r w:rsidRPr="00DA0B4F">
              <w:rPr>
                <w:rFonts w:cs="Arial"/>
                <w:b/>
                <w:bCs/>
              </w:rPr>
              <w:t xml:space="preserve">Decision </w:t>
            </w:r>
          </w:p>
        </w:tc>
      </w:tr>
      <w:tr w:rsidR="006773DE" w:rsidRPr="00DA0B4F" w14:paraId="6140CF39" w14:textId="77777777" w:rsidTr="002E4251">
        <w:tc>
          <w:tcPr>
            <w:tcW w:w="2043" w:type="dxa"/>
          </w:tcPr>
          <w:p w14:paraId="62011BDF" w14:textId="77777777" w:rsidR="006773DE" w:rsidRPr="00DA0B4F" w:rsidRDefault="006773DE" w:rsidP="002E4251">
            <w:pPr>
              <w:rPr>
                <w:rFonts w:cs="Arial"/>
              </w:rPr>
            </w:pPr>
            <w:r w:rsidRPr="00DA0B4F">
              <w:rPr>
                <w:rFonts w:cs="Arial"/>
              </w:rPr>
              <w:t>1</w:t>
            </w:r>
          </w:p>
        </w:tc>
        <w:tc>
          <w:tcPr>
            <w:tcW w:w="2428" w:type="dxa"/>
            <w:tcMar>
              <w:top w:w="0" w:type="dxa"/>
              <w:left w:w="108" w:type="dxa"/>
              <w:bottom w:w="0" w:type="dxa"/>
              <w:right w:w="108" w:type="dxa"/>
            </w:tcMar>
          </w:tcPr>
          <w:p w14:paraId="5F97125A" w14:textId="77777777" w:rsidR="006773DE" w:rsidRPr="005C403F" w:rsidRDefault="006773DE" w:rsidP="002E4251">
            <w:pPr>
              <w:rPr>
                <w:rFonts w:cs="Arial"/>
              </w:rPr>
            </w:pPr>
            <w:r w:rsidRPr="005C403F">
              <w:rPr>
                <w:rFonts w:cs="Arial"/>
              </w:rPr>
              <w:t>Not treating others with respect</w:t>
            </w:r>
          </w:p>
        </w:tc>
        <w:tc>
          <w:tcPr>
            <w:tcW w:w="4664" w:type="dxa"/>
            <w:tcMar>
              <w:top w:w="0" w:type="dxa"/>
              <w:left w:w="108" w:type="dxa"/>
              <w:bottom w:w="0" w:type="dxa"/>
              <w:right w:w="108" w:type="dxa"/>
            </w:tcMar>
          </w:tcPr>
          <w:p w14:paraId="41A7E674" w14:textId="00461018" w:rsidR="006773DE" w:rsidRPr="005C403F" w:rsidRDefault="006773DE" w:rsidP="002E4251">
            <w:pPr>
              <w:rPr>
                <w:rFonts w:cs="Arial"/>
              </w:rPr>
            </w:pPr>
            <w:r w:rsidRPr="005C403F">
              <w:rPr>
                <w:rFonts w:cs="Arial"/>
              </w:rPr>
              <w:t>No evidence found of a breach.</w:t>
            </w:r>
          </w:p>
        </w:tc>
      </w:tr>
      <w:tr w:rsidR="006773DE" w:rsidRPr="00DA0B4F" w14:paraId="4A3B91E7" w14:textId="77777777" w:rsidTr="002E4251">
        <w:tc>
          <w:tcPr>
            <w:tcW w:w="2043" w:type="dxa"/>
          </w:tcPr>
          <w:p w14:paraId="0E5AAACE" w14:textId="77777777" w:rsidR="006773DE" w:rsidRPr="00DA0B4F" w:rsidRDefault="006773DE" w:rsidP="002E4251">
            <w:pPr>
              <w:rPr>
                <w:rFonts w:cs="Arial"/>
              </w:rPr>
            </w:pPr>
            <w:r w:rsidRPr="00DA0B4F">
              <w:rPr>
                <w:rFonts w:cs="Arial"/>
              </w:rPr>
              <w:t>2</w:t>
            </w:r>
          </w:p>
        </w:tc>
        <w:tc>
          <w:tcPr>
            <w:tcW w:w="2428" w:type="dxa"/>
            <w:tcMar>
              <w:top w:w="0" w:type="dxa"/>
              <w:left w:w="108" w:type="dxa"/>
              <w:bottom w:w="0" w:type="dxa"/>
              <w:right w:w="108" w:type="dxa"/>
            </w:tcMar>
          </w:tcPr>
          <w:p w14:paraId="4757664B" w14:textId="77777777" w:rsidR="006773DE" w:rsidRPr="001419C6" w:rsidRDefault="006773DE" w:rsidP="002E4251">
            <w:pPr>
              <w:rPr>
                <w:rFonts w:cs="Arial"/>
              </w:rPr>
            </w:pPr>
            <w:r w:rsidRPr="001419C6">
              <w:rPr>
                <w:rFonts w:cs="Arial"/>
              </w:rPr>
              <w:t xml:space="preserve">Not treating a resident with respect and not responding to correspondence </w:t>
            </w:r>
          </w:p>
        </w:tc>
        <w:tc>
          <w:tcPr>
            <w:tcW w:w="4664" w:type="dxa"/>
            <w:tcMar>
              <w:top w:w="0" w:type="dxa"/>
              <w:left w:w="108" w:type="dxa"/>
              <w:bottom w:w="0" w:type="dxa"/>
              <w:right w:w="108" w:type="dxa"/>
            </w:tcMar>
          </w:tcPr>
          <w:p w14:paraId="7EFC33B1" w14:textId="77777777" w:rsidR="006773DE" w:rsidRDefault="006773DE" w:rsidP="002E4251">
            <w:pPr>
              <w:rPr>
                <w:rFonts w:cs="Arial"/>
              </w:rPr>
            </w:pPr>
            <w:r>
              <w:rPr>
                <w:rFonts w:cs="Arial"/>
              </w:rPr>
              <w:t xml:space="preserve">Councillors responded to the correspondence and  </w:t>
            </w:r>
          </w:p>
          <w:p w14:paraId="2C581572" w14:textId="77777777" w:rsidR="006773DE" w:rsidRPr="001419C6" w:rsidRDefault="006773DE" w:rsidP="002E4251">
            <w:pPr>
              <w:rPr>
                <w:rFonts w:cs="Arial"/>
              </w:rPr>
            </w:pPr>
            <w:r>
              <w:rPr>
                <w:rFonts w:cs="Arial"/>
              </w:rPr>
              <w:t>no evidence found of a breach.</w:t>
            </w:r>
          </w:p>
        </w:tc>
      </w:tr>
      <w:tr w:rsidR="006773DE" w:rsidRPr="00DA0B4F" w14:paraId="0471BD09" w14:textId="77777777" w:rsidTr="002E4251">
        <w:tc>
          <w:tcPr>
            <w:tcW w:w="2043" w:type="dxa"/>
          </w:tcPr>
          <w:p w14:paraId="6A591C70" w14:textId="77777777" w:rsidR="006773DE" w:rsidRPr="00DA0B4F" w:rsidRDefault="006773DE" w:rsidP="002E4251">
            <w:pPr>
              <w:rPr>
                <w:rFonts w:cs="Arial"/>
              </w:rPr>
            </w:pPr>
            <w:r w:rsidRPr="00DA0B4F">
              <w:rPr>
                <w:rFonts w:cs="Arial"/>
              </w:rPr>
              <w:t>3</w:t>
            </w:r>
          </w:p>
        </w:tc>
        <w:tc>
          <w:tcPr>
            <w:tcW w:w="2428" w:type="dxa"/>
            <w:tcMar>
              <w:top w:w="0" w:type="dxa"/>
              <w:left w:w="108" w:type="dxa"/>
              <w:bottom w:w="0" w:type="dxa"/>
              <w:right w:w="108" w:type="dxa"/>
            </w:tcMar>
          </w:tcPr>
          <w:p w14:paraId="77A4E680" w14:textId="77777777" w:rsidR="006773DE" w:rsidRPr="009A7254" w:rsidRDefault="006773DE" w:rsidP="002E4251">
            <w:pPr>
              <w:rPr>
                <w:rFonts w:cs="Arial"/>
                <w:highlight w:val="yellow"/>
              </w:rPr>
            </w:pPr>
            <w:r w:rsidRPr="001419C6">
              <w:rPr>
                <w:rFonts w:cs="Arial"/>
              </w:rPr>
              <w:t>Not treating a resident with respect</w:t>
            </w:r>
          </w:p>
        </w:tc>
        <w:tc>
          <w:tcPr>
            <w:tcW w:w="4664" w:type="dxa"/>
            <w:tcMar>
              <w:top w:w="0" w:type="dxa"/>
              <w:left w:w="108" w:type="dxa"/>
              <w:bottom w:w="0" w:type="dxa"/>
              <w:right w:w="108" w:type="dxa"/>
            </w:tcMar>
          </w:tcPr>
          <w:p w14:paraId="0C2BB956" w14:textId="77777777" w:rsidR="006773DE" w:rsidRPr="009A7254" w:rsidRDefault="006773DE" w:rsidP="002E4251">
            <w:pPr>
              <w:rPr>
                <w:rFonts w:cs="Arial"/>
                <w:highlight w:val="yellow"/>
              </w:rPr>
            </w:pPr>
            <w:r w:rsidRPr="001419C6">
              <w:rPr>
                <w:rFonts w:cs="Arial"/>
              </w:rPr>
              <w:t>Resident did not respond to further inquiries</w:t>
            </w:r>
          </w:p>
        </w:tc>
      </w:tr>
      <w:tr w:rsidR="006773DE" w:rsidRPr="00DA0B4F" w14:paraId="0A0DC399" w14:textId="77777777" w:rsidTr="002E4251">
        <w:tc>
          <w:tcPr>
            <w:tcW w:w="2043" w:type="dxa"/>
          </w:tcPr>
          <w:p w14:paraId="1A6DBCDE" w14:textId="77777777" w:rsidR="006773DE" w:rsidRPr="00DA0B4F" w:rsidRDefault="006773DE" w:rsidP="002E4251">
            <w:pPr>
              <w:rPr>
                <w:rFonts w:cs="Arial"/>
              </w:rPr>
            </w:pPr>
            <w:r w:rsidRPr="00DA0B4F">
              <w:rPr>
                <w:rFonts w:cs="Arial"/>
              </w:rPr>
              <w:t>4</w:t>
            </w:r>
          </w:p>
        </w:tc>
        <w:tc>
          <w:tcPr>
            <w:tcW w:w="2428" w:type="dxa"/>
            <w:tcMar>
              <w:top w:w="0" w:type="dxa"/>
              <w:left w:w="108" w:type="dxa"/>
              <w:bottom w:w="0" w:type="dxa"/>
              <w:right w:w="108" w:type="dxa"/>
            </w:tcMar>
          </w:tcPr>
          <w:p w14:paraId="7EF345C5" w14:textId="77777777" w:rsidR="006773DE" w:rsidRPr="002B32C2" w:rsidRDefault="006773DE" w:rsidP="002E4251">
            <w:pPr>
              <w:rPr>
                <w:rFonts w:cs="Arial"/>
              </w:rPr>
            </w:pPr>
            <w:r w:rsidRPr="002B32C2">
              <w:rPr>
                <w:rFonts w:cs="Arial"/>
              </w:rPr>
              <w:t>Calling in a planning application</w:t>
            </w:r>
            <w:r>
              <w:rPr>
                <w:rFonts w:cs="Arial"/>
              </w:rPr>
              <w:t xml:space="preserve"> </w:t>
            </w:r>
          </w:p>
        </w:tc>
        <w:tc>
          <w:tcPr>
            <w:tcW w:w="4664" w:type="dxa"/>
            <w:tcMar>
              <w:top w:w="0" w:type="dxa"/>
              <w:left w:w="108" w:type="dxa"/>
              <w:bottom w:w="0" w:type="dxa"/>
              <w:right w:w="108" w:type="dxa"/>
            </w:tcMar>
          </w:tcPr>
          <w:p w14:paraId="55C88E73" w14:textId="77777777" w:rsidR="006773DE" w:rsidRPr="002B32C2" w:rsidRDefault="006773DE" w:rsidP="002E4251">
            <w:pPr>
              <w:rPr>
                <w:rFonts w:cs="Arial"/>
              </w:rPr>
            </w:pPr>
            <w:r w:rsidRPr="002B32C2">
              <w:rPr>
                <w:rFonts w:cs="Arial"/>
              </w:rPr>
              <w:t xml:space="preserve">No evidence found </w:t>
            </w:r>
            <w:r>
              <w:rPr>
                <w:rFonts w:cs="Arial"/>
              </w:rPr>
              <w:t xml:space="preserve">of a </w:t>
            </w:r>
            <w:r w:rsidRPr="002B32C2">
              <w:rPr>
                <w:rFonts w:cs="Arial"/>
              </w:rPr>
              <w:t>breach</w:t>
            </w:r>
            <w:r>
              <w:rPr>
                <w:rFonts w:cs="Arial"/>
              </w:rPr>
              <w:t xml:space="preserve"> of the code of conduct</w:t>
            </w:r>
            <w:r w:rsidRPr="002B32C2">
              <w:rPr>
                <w:rFonts w:cs="Arial"/>
              </w:rPr>
              <w:t xml:space="preserve">. </w:t>
            </w:r>
          </w:p>
        </w:tc>
      </w:tr>
    </w:tbl>
    <w:p w14:paraId="4D1574AF" w14:textId="77777777" w:rsidR="006773DE" w:rsidRDefault="006773DE" w:rsidP="006773DE">
      <w:pPr>
        <w:rPr>
          <w:b/>
          <w:bCs/>
        </w:rPr>
      </w:pPr>
    </w:p>
    <w:p w14:paraId="038A8D29" w14:textId="77777777" w:rsidR="006773DE" w:rsidRPr="00167DEC" w:rsidRDefault="006773DE" w:rsidP="00A41D18">
      <w:pPr>
        <w:spacing w:before="240"/>
      </w:pPr>
    </w:p>
    <w:p w14:paraId="2EAB350E" w14:textId="5044448D" w:rsidR="00D24A3D" w:rsidRDefault="00D24A3D"/>
    <w:p w14:paraId="3469E0D9" w14:textId="1950FC19" w:rsidR="00213BE7" w:rsidRDefault="00F43407" w:rsidP="00213BE7">
      <w:pPr>
        <w:pStyle w:val="Heading2"/>
      </w:pPr>
      <w:r>
        <w:t xml:space="preserve">3.0 </w:t>
      </w:r>
      <w:r w:rsidR="00213BE7">
        <w:t>Legal Implications</w:t>
      </w:r>
    </w:p>
    <w:p w14:paraId="065F5D56" w14:textId="58532398" w:rsidR="00594FFF" w:rsidRDefault="00F1726E" w:rsidP="00594FFF">
      <w:r>
        <w:t xml:space="preserve"> </w:t>
      </w:r>
      <w:r w:rsidR="00402BCC">
        <w:t>Corporate complaints</w:t>
      </w:r>
    </w:p>
    <w:p w14:paraId="74E9CB5E" w14:textId="77777777" w:rsidR="00402BCC" w:rsidRPr="00594FFF" w:rsidRDefault="00402BCC" w:rsidP="00DC32ED"/>
    <w:p w14:paraId="58434ABF" w14:textId="3650E447" w:rsidR="006336FF" w:rsidRDefault="006336FF" w:rsidP="006336FF">
      <w:r w:rsidRPr="00C7630C">
        <w:t xml:space="preserve">Having an effective complaints management system is part of an effective corporate governance framework, allowing the Council to continuously review and improve its services in response to feedback.  </w:t>
      </w:r>
    </w:p>
    <w:p w14:paraId="28976831" w14:textId="77777777" w:rsidR="006336FF" w:rsidRDefault="006336FF" w:rsidP="006336FF"/>
    <w:p w14:paraId="5384DB5E" w14:textId="77777777" w:rsidR="006336FF" w:rsidRDefault="006336FF" w:rsidP="006336FF">
      <w:pPr>
        <w:rPr>
          <w:color w:val="FF0000"/>
        </w:rPr>
      </w:pPr>
      <w:r w:rsidRPr="00C7630C">
        <w:t xml:space="preserve">Residents and service users who remain dissatisfied with council services, having followed the internal complaints process, have a right to complaint to the LGSCO or the Housing Ombudsman (for landlord related matters).  These are independent bodies responsible for investigating complaints made against local authorities (and social landlords).  Under the Local </w:t>
      </w:r>
      <w:r w:rsidRPr="00BE0B0E">
        <w:rPr>
          <w:rFonts w:eastAsia="Arial" w:cs="Arial"/>
          <w:szCs w:val="24"/>
        </w:rPr>
        <w:t xml:space="preserve">Government Act 1974, the LGSCO is responsible for investigating complaints against local </w:t>
      </w:r>
      <w:r w:rsidRPr="7F9CA6E4">
        <w:rPr>
          <w:rFonts w:eastAsia="Arial" w:cs="Arial"/>
          <w:szCs w:val="24"/>
        </w:rPr>
        <w:t xml:space="preserve">authorities, investigating complaints about adult social care providers from people who arrange or fund their own adult social care and for providing advice and guidance on good administrative practice.  It is responsible for making findings of maladministration and injustice. </w:t>
      </w:r>
    </w:p>
    <w:p w14:paraId="2AE08E80" w14:textId="77777777" w:rsidR="006336FF" w:rsidRDefault="006336FF" w:rsidP="006336FF">
      <w:pPr>
        <w:rPr>
          <w:rFonts w:eastAsia="Arial" w:cs="Arial"/>
          <w:szCs w:val="24"/>
        </w:rPr>
      </w:pPr>
    </w:p>
    <w:p w14:paraId="03C786D1" w14:textId="77777777" w:rsidR="006336FF" w:rsidRDefault="006336FF" w:rsidP="006336FF">
      <w:pPr>
        <w:rPr>
          <w:color w:val="FF0000"/>
        </w:rPr>
      </w:pPr>
      <w:r w:rsidRPr="7F9CA6E4">
        <w:rPr>
          <w:rFonts w:eastAsia="Arial" w:cs="Arial"/>
          <w:szCs w:val="24"/>
        </w:rPr>
        <w:t xml:space="preserve">The LGSCO has the power to make recommendations to a local authority following a complaint on how to improve its services and to put things right for the complainant. The recommendations are not mandatory and the local authority does not have to accept or follow them. Remedies recommended by the LGSCO can include an apology, financial compensation, a review of procedures, staff training, and reconsideration of a decision and payment of money where this should have been paid. </w:t>
      </w:r>
    </w:p>
    <w:p w14:paraId="188BA9E3" w14:textId="77777777" w:rsidR="006336FF" w:rsidRDefault="006336FF" w:rsidP="006336FF">
      <w:pPr>
        <w:rPr>
          <w:rFonts w:eastAsia="Arial" w:cs="Arial"/>
          <w:szCs w:val="24"/>
        </w:rPr>
      </w:pPr>
    </w:p>
    <w:p w14:paraId="41013884" w14:textId="2E950E54" w:rsidR="006336FF" w:rsidRDefault="00141C6D" w:rsidP="006336FF">
      <w:pPr>
        <w:rPr>
          <w:color w:val="FF0000"/>
        </w:rPr>
      </w:pPr>
      <w:r>
        <w:rPr>
          <w:rFonts w:eastAsia="Arial" w:cs="Arial"/>
          <w:szCs w:val="24"/>
        </w:rPr>
        <w:t>C</w:t>
      </w:r>
      <w:r w:rsidR="006336FF" w:rsidRPr="7F9CA6E4">
        <w:rPr>
          <w:rFonts w:eastAsia="Arial" w:cs="Arial"/>
          <w:szCs w:val="24"/>
        </w:rPr>
        <w:t xml:space="preserve">ase law has held that </w:t>
      </w:r>
      <w:r w:rsidR="00022807">
        <w:rPr>
          <w:rFonts w:eastAsia="Arial" w:cs="Arial"/>
          <w:szCs w:val="24"/>
        </w:rPr>
        <w:t xml:space="preserve">maladministration </w:t>
      </w:r>
      <w:r w:rsidR="006336FF" w:rsidRPr="7F9CA6E4">
        <w:rPr>
          <w:rFonts w:eastAsia="Arial" w:cs="Arial"/>
          <w:szCs w:val="24"/>
        </w:rPr>
        <w:t xml:space="preserve"> includes bias, neglect, inattention, delay, incompetence, ineptitude, perversity, turpitude and arbitrariness. Examples of maladministration include excessive or unreasonable delay, making misleading or inaccurate statements, failing to follow a specified procedure, failing to consult or liaise, failing to provide information when requested to do so, not keeping adequate records and failing to investigate or reply to a query from a member of the public. The LGSCO is concerned with the manner in which the decision was reached, as opposed to the actual decision. </w:t>
      </w:r>
    </w:p>
    <w:p w14:paraId="66E1EBA1" w14:textId="77777777" w:rsidR="006336FF" w:rsidRDefault="006336FF" w:rsidP="006336FF">
      <w:pPr>
        <w:rPr>
          <w:rFonts w:eastAsia="Arial" w:cs="Arial"/>
          <w:szCs w:val="24"/>
        </w:rPr>
      </w:pPr>
    </w:p>
    <w:p w14:paraId="04196ADD" w14:textId="77777777" w:rsidR="006336FF" w:rsidRDefault="006336FF" w:rsidP="006336FF">
      <w:pPr>
        <w:rPr>
          <w:rFonts w:eastAsia="Arial" w:cs="Arial"/>
          <w:szCs w:val="24"/>
        </w:rPr>
      </w:pPr>
      <w:r w:rsidRPr="7F9CA6E4">
        <w:rPr>
          <w:rFonts w:eastAsia="Arial" w:cs="Arial"/>
          <w:szCs w:val="24"/>
        </w:rPr>
        <w:t xml:space="preserve">The LGSCO has published guidance on good complaints handling and principles of good administrative practice.  This guidance states that to ensure effective governance the statutory governance officers should be aware of and engaged with complaints and should intervene at the right time.  Learning from complaints should be at the centre of the risk management framework and audit function.  The principles for effective complaints handling include getting it right by complying with the law and policies, being customer focused, being open and accountable, acting fairly and proportionately, putting things right, including apologising and putting right injustice and seeking continuous improvement.  </w:t>
      </w:r>
    </w:p>
    <w:p w14:paraId="5E255EEC" w14:textId="77777777" w:rsidR="006336FF" w:rsidRDefault="006336FF" w:rsidP="006336FF">
      <w:pPr>
        <w:rPr>
          <w:rFonts w:eastAsia="Arial" w:cs="Arial"/>
          <w:szCs w:val="24"/>
        </w:rPr>
      </w:pPr>
    </w:p>
    <w:p w14:paraId="5AB77E3E" w14:textId="58DAED8F" w:rsidR="006336FF" w:rsidRDefault="006336FF" w:rsidP="006336FF">
      <w:pPr>
        <w:rPr>
          <w:color w:val="FF0000"/>
        </w:rPr>
      </w:pPr>
      <w:r w:rsidRPr="7F9CA6E4">
        <w:rPr>
          <w:rFonts w:eastAsia="Arial" w:cs="Arial"/>
          <w:szCs w:val="24"/>
        </w:rPr>
        <w:t>There are specific legal requirements for certain types of complaint, including children’s social care, adult social care, school admissions and transport, housing benefit and council tax, homelessness, standards and member conduct and parking and traffic offences.  Some matters will be outside the complaints policy due to other statutory routes being available to complain about the decision or service.</w:t>
      </w:r>
    </w:p>
    <w:p w14:paraId="7B2FF475" w14:textId="77777777" w:rsidR="0063561E" w:rsidRDefault="0063561E" w:rsidP="006336FF">
      <w:pPr>
        <w:rPr>
          <w:color w:val="FF0000"/>
        </w:rPr>
      </w:pPr>
    </w:p>
    <w:p w14:paraId="3A60F1B9" w14:textId="56356119" w:rsidR="0063561E" w:rsidRDefault="0063561E" w:rsidP="0063561E">
      <w:pPr>
        <w:pStyle w:val="Sub1Textlist"/>
        <w:rPr>
          <w:rFonts w:ascii="Arial" w:hAnsi="Arial"/>
        </w:rPr>
      </w:pPr>
      <w:r w:rsidRPr="00E83EF1">
        <w:rPr>
          <w:rFonts w:ascii="Arial" w:hAnsi="Arial"/>
        </w:rPr>
        <w:t>Section 5 of the 1989 Local Government Act requires the Monitoring Officer to</w:t>
      </w:r>
      <w:r w:rsidR="00E83EF1">
        <w:rPr>
          <w:rFonts w:ascii="Arial" w:hAnsi="Arial"/>
        </w:rPr>
        <w:t xml:space="preserve"> </w:t>
      </w:r>
      <w:r w:rsidRPr="00E83EF1">
        <w:rPr>
          <w:rFonts w:ascii="Arial" w:hAnsi="Arial"/>
        </w:rPr>
        <w:t>report maladministration or failure in relation to LGSCO complaints to members.</w:t>
      </w:r>
    </w:p>
    <w:p w14:paraId="254A3D0B" w14:textId="21CB4008" w:rsidR="00402BCC" w:rsidRPr="00DC32ED" w:rsidRDefault="008C18A8" w:rsidP="0063561E">
      <w:pPr>
        <w:pStyle w:val="Sub1Textlist"/>
        <w:rPr>
          <w:rFonts w:ascii="Arial" w:hAnsi="Arial"/>
          <w:b/>
          <w:bCs/>
        </w:rPr>
      </w:pPr>
      <w:r>
        <w:rPr>
          <w:rFonts w:ascii="Arial" w:hAnsi="Arial"/>
          <w:b/>
          <w:bCs/>
        </w:rPr>
        <w:t xml:space="preserve">3.1 </w:t>
      </w:r>
      <w:r w:rsidR="00402BCC" w:rsidRPr="00DC32ED">
        <w:rPr>
          <w:rFonts w:ascii="Arial" w:hAnsi="Arial"/>
          <w:b/>
          <w:bCs/>
        </w:rPr>
        <w:t>Member complaints</w:t>
      </w:r>
    </w:p>
    <w:p w14:paraId="4872AF9C" w14:textId="77777777" w:rsidR="00E83EF1" w:rsidRPr="00E83EF1" w:rsidRDefault="00E83EF1" w:rsidP="0063561E">
      <w:pPr>
        <w:pStyle w:val="Sub1Textlist"/>
        <w:rPr>
          <w:rFonts w:ascii="Arial" w:hAnsi="Arial"/>
        </w:rPr>
      </w:pPr>
    </w:p>
    <w:p w14:paraId="41750236" w14:textId="77777777" w:rsidR="008B2BC1" w:rsidRDefault="0063561E" w:rsidP="0063561E">
      <w:r>
        <w:t xml:space="preserve">Under the Constitution the Governance, Audit, Risk Management and Standards Committee has the following powers and duties:  </w:t>
      </w:r>
    </w:p>
    <w:p w14:paraId="530F16B8" w14:textId="77777777" w:rsidR="008B2BC1" w:rsidRDefault="008B2BC1" w:rsidP="0063561E"/>
    <w:p w14:paraId="382DF10D" w14:textId="033B938C" w:rsidR="00466A83" w:rsidRPr="00B12BC6" w:rsidRDefault="008B2BC1" w:rsidP="00B12BC6">
      <w:pPr>
        <w:pStyle w:val="ListParagraph"/>
        <w:numPr>
          <w:ilvl w:val="0"/>
          <w:numId w:val="27"/>
        </w:numPr>
        <w:rPr>
          <w:color w:val="FF0000"/>
        </w:rPr>
      </w:pPr>
      <w:r>
        <w:t>Monitoring the operation of the Members’ Code of Conduct.</w:t>
      </w:r>
      <w:r w:rsidR="0063561E">
        <w:br/>
      </w:r>
      <w:r w:rsidR="0063561E">
        <w:br/>
      </w:r>
    </w:p>
    <w:p w14:paraId="102B1A7B" w14:textId="6E09092F" w:rsidR="00466A83" w:rsidRPr="00466A83" w:rsidRDefault="008C18A8" w:rsidP="00466A83">
      <w:pPr>
        <w:widowControl w:val="0"/>
        <w:tabs>
          <w:tab w:val="left" w:pos="3119"/>
          <w:tab w:val="left" w:pos="3686"/>
          <w:tab w:val="left" w:pos="4253"/>
        </w:tabs>
        <w:adjustRightInd w:val="0"/>
        <w:contextualSpacing/>
        <w:textAlignment w:val="baseline"/>
        <w:outlineLvl w:val="0"/>
        <w:rPr>
          <w:bCs/>
          <w:iCs/>
          <w:szCs w:val="24"/>
        </w:rPr>
      </w:pPr>
      <w:r>
        <w:rPr>
          <w:bCs/>
          <w:iCs/>
          <w:szCs w:val="24"/>
        </w:rPr>
        <w:t xml:space="preserve">3.2 </w:t>
      </w:r>
      <w:r w:rsidR="008B2BC1">
        <w:rPr>
          <w:bCs/>
          <w:iCs/>
          <w:szCs w:val="24"/>
        </w:rPr>
        <w:t xml:space="preserve">The </w:t>
      </w:r>
      <w:r w:rsidR="00466A83" w:rsidRPr="00466A83">
        <w:rPr>
          <w:bCs/>
          <w:iCs/>
          <w:szCs w:val="24"/>
        </w:rPr>
        <w:t xml:space="preserve">Members’ Code of Conduct </w:t>
      </w:r>
      <w:r w:rsidR="00102F85">
        <w:rPr>
          <w:bCs/>
          <w:iCs/>
          <w:szCs w:val="24"/>
        </w:rPr>
        <w:t xml:space="preserve">is set out in the constitution. </w:t>
      </w:r>
      <w:r w:rsidR="00466A83" w:rsidRPr="00466A83">
        <w:rPr>
          <w:szCs w:val="24"/>
        </w:rPr>
        <w:t>The Council’s arrangements under which complaints about Member conduct are investigated and decided comply with the relevant provisions of the Localism Act 2011. All complaints are dealt with in consultation with one of the council’s Independent Persons that the council has to appoint under the Localism Act.</w:t>
      </w:r>
    </w:p>
    <w:p w14:paraId="03A2A224" w14:textId="77777777" w:rsidR="003377D1" w:rsidRDefault="003377D1" w:rsidP="006336FF">
      <w:pPr>
        <w:rPr>
          <w:color w:val="FF0000"/>
        </w:rPr>
      </w:pPr>
    </w:p>
    <w:p w14:paraId="36D3F2E4" w14:textId="77777777" w:rsidR="003377D1" w:rsidRDefault="003377D1" w:rsidP="006336FF">
      <w:pPr>
        <w:rPr>
          <w:color w:val="FF0000"/>
        </w:rPr>
      </w:pPr>
    </w:p>
    <w:p w14:paraId="06A44D4D" w14:textId="77777777" w:rsidR="003377D1" w:rsidRPr="00362A92" w:rsidRDefault="003377D1" w:rsidP="006336FF">
      <w:pPr>
        <w:rPr>
          <w:color w:val="FF0000"/>
        </w:rPr>
      </w:pPr>
    </w:p>
    <w:p w14:paraId="41BB405D" w14:textId="37F0616E" w:rsidR="002A2389" w:rsidRDefault="008C18A8" w:rsidP="003D2FFE">
      <w:pPr>
        <w:pStyle w:val="Heading2"/>
        <w:spacing w:after="240"/>
      </w:pPr>
      <w:r>
        <w:t xml:space="preserve">4.0 </w:t>
      </w:r>
      <w:r w:rsidR="002A2389">
        <w:t>Financial Implications</w:t>
      </w:r>
    </w:p>
    <w:p w14:paraId="0EFD3634" w14:textId="0383530A" w:rsidR="005044E4" w:rsidRDefault="005044E4">
      <w:r w:rsidRPr="005044E4">
        <w:lastRenderedPageBreak/>
        <w:t xml:space="preserve">There are no financial implications associated with this report.  </w:t>
      </w:r>
    </w:p>
    <w:p w14:paraId="0A6DB49B" w14:textId="77777777" w:rsidR="0099517C" w:rsidRDefault="0099517C"/>
    <w:p w14:paraId="5ACE80EE" w14:textId="09559FF7" w:rsidR="00C32DAE" w:rsidRDefault="008C18A8" w:rsidP="003D2FFE">
      <w:pPr>
        <w:pStyle w:val="Heading2"/>
        <w:spacing w:after="240"/>
      </w:pPr>
      <w:r>
        <w:t>5.0</w:t>
      </w:r>
      <w:r w:rsidR="00E73215">
        <w:t xml:space="preserve">. </w:t>
      </w:r>
      <w:r w:rsidR="00C32DAE">
        <w:t>Risk Management Implications</w:t>
      </w:r>
    </w:p>
    <w:p w14:paraId="5A3B2C14" w14:textId="77777777" w:rsidR="00DE6C7E" w:rsidRPr="00DE6C7E" w:rsidRDefault="00DE6C7E" w:rsidP="00DE6C7E"/>
    <w:p w14:paraId="6D2FE5BC" w14:textId="77777777" w:rsidR="0069255E" w:rsidRPr="009378D1" w:rsidRDefault="0069255E" w:rsidP="0069255E">
      <w:pPr>
        <w:tabs>
          <w:tab w:val="left" w:pos="5610"/>
        </w:tabs>
        <w:ind w:right="81"/>
        <w:rPr>
          <w:rFonts w:cs="Arial"/>
          <w:b/>
          <w:bCs/>
          <w:szCs w:val="24"/>
          <w:lang w:val="en-US"/>
        </w:rPr>
      </w:pPr>
      <w:r w:rsidRPr="009378D1">
        <w:rPr>
          <w:rFonts w:cs="Arial"/>
          <w:szCs w:val="24"/>
          <w:lang w:val="en-US"/>
        </w:rPr>
        <w:t xml:space="preserve">Risks included on corporate or directorate risk register? </w:t>
      </w:r>
      <w:r w:rsidRPr="009378D1">
        <w:rPr>
          <w:rFonts w:cs="Arial"/>
          <w:b/>
          <w:bCs/>
          <w:szCs w:val="24"/>
          <w:lang w:val="en-US"/>
        </w:rPr>
        <w:t>YES</w:t>
      </w:r>
    </w:p>
    <w:p w14:paraId="618D4C7D" w14:textId="77777777" w:rsidR="0069255E" w:rsidRPr="009378D1" w:rsidRDefault="0069255E" w:rsidP="0069255E">
      <w:pPr>
        <w:tabs>
          <w:tab w:val="left" w:pos="5610"/>
        </w:tabs>
        <w:ind w:right="81"/>
      </w:pPr>
      <w:r w:rsidRPr="009378D1">
        <w:rPr>
          <w:rFonts w:cs="Arial"/>
          <w:szCs w:val="24"/>
          <w:lang w:val="en-US"/>
        </w:rPr>
        <w:t>“The Council provides a poor customer service” is included on the corporate risk register and rated at C3 (medium likelihood/moderate impact)</w:t>
      </w:r>
    </w:p>
    <w:p w14:paraId="04BC4688" w14:textId="77777777" w:rsidR="0069255E" w:rsidRPr="00362A92" w:rsidRDefault="0069255E" w:rsidP="0069255E">
      <w:pPr>
        <w:ind w:left="-142" w:right="141"/>
        <w:rPr>
          <w:rFonts w:cs="Arial"/>
          <w:color w:val="FF0000"/>
          <w:szCs w:val="24"/>
          <w:lang w:val="en-US" w:eastAsia="en-GB"/>
        </w:rPr>
      </w:pPr>
      <w:r w:rsidRPr="00362A92">
        <w:rPr>
          <w:rFonts w:cs="Arial"/>
          <w:color w:val="FF0000"/>
          <w:szCs w:val="24"/>
          <w:lang w:val="en-US" w:eastAsia="en-GB"/>
        </w:rPr>
        <w:t xml:space="preserve">  </w:t>
      </w:r>
    </w:p>
    <w:p w14:paraId="45EA9131" w14:textId="77777777" w:rsidR="0069255E" w:rsidRPr="007C7458" w:rsidRDefault="0069255E" w:rsidP="0069255E">
      <w:pPr>
        <w:ind w:right="141"/>
        <w:rPr>
          <w:rFonts w:cs="Arial"/>
          <w:szCs w:val="24"/>
          <w:lang w:val="en-US" w:eastAsia="en-GB"/>
        </w:rPr>
      </w:pPr>
      <w:r w:rsidRPr="009378D1">
        <w:rPr>
          <w:rFonts w:cs="Arial"/>
          <w:szCs w:val="24"/>
          <w:lang w:val="en-US" w:eastAsia="en-GB"/>
        </w:rPr>
        <w:t xml:space="preserve">Separate risk register in place? </w:t>
      </w:r>
      <w:r w:rsidRPr="009378D1">
        <w:rPr>
          <w:rFonts w:cs="Arial"/>
          <w:b/>
          <w:bCs/>
          <w:szCs w:val="24"/>
          <w:lang w:val="en-US" w:eastAsia="en-GB"/>
        </w:rPr>
        <w:t>NO</w:t>
      </w:r>
      <w:r>
        <w:rPr>
          <w:rFonts w:cs="Arial"/>
          <w:b/>
          <w:bCs/>
          <w:szCs w:val="24"/>
          <w:lang w:val="en-US" w:eastAsia="en-GB"/>
        </w:rPr>
        <w:t xml:space="preserve"> </w:t>
      </w:r>
    </w:p>
    <w:p w14:paraId="52D0F112" w14:textId="77777777" w:rsidR="0069255E" w:rsidRPr="00362A92" w:rsidRDefault="0069255E" w:rsidP="0069255E">
      <w:pPr>
        <w:tabs>
          <w:tab w:val="left" w:pos="5610"/>
        </w:tabs>
        <w:ind w:left="567" w:right="81" w:hanging="567"/>
        <w:rPr>
          <w:color w:val="FF0000"/>
        </w:rPr>
      </w:pPr>
      <w:bookmarkStart w:id="0" w:name="_Hlk60923477"/>
      <w:bookmarkStart w:id="1" w:name="_Hlk60922991"/>
      <w:bookmarkStart w:id="2" w:name="_Hlk60923939"/>
    </w:p>
    <w:p w14:paraId="34BD2B70" w14:textId="77777777" w:rsidR="0069255E" w:rsidRPr="007C7458" w:rsidRDefault="0069255E" w:rsidP="0069255E">
      <w:pPr>
        <w:tabs>
          <w:tab w:val="left" w:pos="5610"/>
        </w:tabs>
        <w:ind w:right="81"/>
      </w:pPr>
      <w:r w:rsidRPr="007C7458">
        <w:t xml:space="preserve">Are the relevant risks contained in the register are attached/summarised below? </w:t>
      </w:r>
      <w:r w:rsidRPr="007C7458">
        <w:rPr>
          <w:b/>
          <w:bCs/>
        </w:rPr>
        <w:t>NO</w:t>
      </w:r>
    </w:p>
    <w:p w14:paraId="583830BE" w14:textId="77777777" w:rsidR="0069255E" w:rsidRPr="006A6CCA" w:rsidRDefault="0069255E" w:rsidP="0069255E">
      <w:pPr>
        <w:tabs>
          <w:tab w:val="left" w:pos="5610"/>
        </w:tabs>
        <w:ind w:right="81"/>
      </w:pPr>
    </w:p>
    <w:p w14:paraId="7EB2C6AE" w14:textId="77777777" w:rsidR="0069255E" w:rsidRPr="006A6CCA" w:rsidRDefault="0069255E" w:rsidP="0069255E">
      <w:pPr>
        <w:tabs>
          <w:tab w:val="left" w:pos="5610"/>
        </w:tabs>
        <w:ind w:right="81"/>
      </w:pPr>
      <w:r w:rsidRPr="006A6CCA">
        <w:t>The following key risks should be taken onto account when agreeing the recommendations in this report:</w:t>
      </w:r>
    </w:p>
    <w:p w14:paraId="2B7D035D" w14:textId="77777777" w:rsidR="0069255E" w:rsidRDefault="0069255E" w:rsidP="0069255E">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69255E" w14:paraId="6ED64C08" w14:textId="77777777" w:rsidTr="00051C40">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F6CDE4" w14:textId="77777777" w:rsidR="0069255E" w:rsidRDefault="0069255E" w:rsidP="00051C40">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458C22" w14:textId="77777777" w:rsidR="0069255E" w:rsidRDefault="0069255E" w:rsidP="00051C40">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F1DA1D5" w14:textId="77777777" w:rsidR="0069255E" w:rsidRDefault="0069255E" w:rsidP="00051C40">
            <w:pPr>
              <w:spacing w:line="247" w:lineRule="auto"/>
              <w:ind w:left="171" w:right="141"/>
              <w:rPr>
                <w:rFonts w:cs="Arial"/>
                <w:b/>
                <w:bCs/>
                <w:szCs w:val="24"/>
                <w:lang w:val="en-US" w:eastAsia="en-GB"/>
              </w:rPr>
            </w:pPr>
            <w:r>
              <w:rPr>
                <w:rFonts w:cs="Arial"/>
                <w:b/>
                <w:bCs/>
                <w:szCs w:val="24"/>
                <w:lang w:val="en-US" w:eastAsia="en-GB"/>
              </w:rPr>
              <w:t>RAG Status</w:t>
            </w:r>
          </w:p>
        </w:tc>
      </w:tr>
      <w:tr w:rsidR="0069255E" w14:paraId="22FF3939" w14:textId="77777777" w:rsidTr="00051C4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FBF13" w14:textId="77777777" w:rsidR="0069255E" w:rsidRDefault="0069255E" w:rsidP="00051C40">
            <w:pPr>
              <w:spacing w:line="247" w:lineRule="auto"/>
              <w:ind w:right="141"/>
              <w:rPr>
                <w:rFonts w:cs="Arial"/>
                <w:szCs w:val="24"/>
                <w:lang w:val="en-US" w:eastAsia="en-GB"/>
              </w:rPr>
            </w:pPr>
            <w:r>
              <w:rPr>
                <w:rFonts w:cs="Arial"/>
                <w:szCs w:val="24"/>
                <w:lang w:val="en-US" w:eastAsia="en-GB"/>
              </w:rPr>
              <w:t xml:space="preserve">The Complaints policy is not adopted by staff.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21297" w14:textId="77777777" w:rsidR="0069255E" w:rsidRPr="00E06F0F" w:rsidRDefault="0069255E" w:rsidP="0069255E">
            <w:pPr>
              <w:pStyle w:val="ListParagraph"/>
              <w:numPr>
                <w:ilvl w:val="0"/>
                <w:numId w:val="23"/>
              </w:numPr>
              <w:contextualSpacing/>
              <w:rPr>
                <w:sz w:val="18"/>
                <w:szCs w:val="18"/>
              </w:rPr>
            </w:pPr>
            <w:r w:rsidRPr="00E06F0F">
              <w:rPr>
                <w:sz w:val="18"/>
                <w:szCs w:val="18"/>
              </w:rPr>
              <w:t>A separate guidance document has been created to inform staff</w:t>
            </w:r>
          </w:p>
          <w:p w14:paraId="48503120" w14:textId="77777777" w:rsidR="0069255E" w:rsidRDefault="0069255E" w:rsidP="00051C40">
            <w:pPr>
              <w:contextualSpacing/>
              <w:rPr>
                <w:rFonts w:cs="Arial"/>
                <w:sz w:val="18"/>
                <w:szCs w:val="18"/>
              </w:rPr>
            </w:pPr>
          </w:p>
          <w:p w14:paraId="477985A5" w14:textId="77777777" w:rsidR="0069255E" w:rsidRPr="00E06F0F" w:rsidRDefault="0069255E" w:rsidP="0069255E">
            <w:pPr>
              <w:pStyle w:val="ListParagraph"/>
              <w:numPr>
                <w:ilvl w:val="0"/>
                <w:numId w:val="23"/>
              </w:numPr>
              <w:contextualSpacing/>
              <w:rPr>
                <w:sz w:val="18"/>
                <w:szCs w:val="18"/>
              </w:rPr>
            </w:pPr>
            <w:r w:rsidRPr="00E06F0F">
              <w:rPr>
                <w:sz w:val="18"/>
                <w:szCs w:val="18"/>
              </w:rPr>
              <w:t>Complaints coordinators are in place across the Council and network meetings to share best practise is in place.</w:t>
            </w:r>
          </w:p>
          <w:p w14:paraId="1C08EFCC" w14:textId="77777777" w:rsidR="0069255E" w:rsidRPr="00E06F0F" w:rsidRDefault="0069255E" w:rsidP="00051C40">
            <w:pPr>
              <w:contextualSpacing/>
              <w:rPr>
                <w:rFonts w:cs="Arial"/>
                <w:sz w:val="18"/>
                <w:szCs w:val="18"/>
              </w:rPr>
            </w:pPr>
          </w:p>
          <w:p w14:paraId="1DE42B52" w14:textId="77777777" w:rsidR="0069255E" w:rsidRPr="00AC4CCD" w:rsidRDefault="0069255E" w:rsidP="0069255E">
            <w:pPr>
              <w:pStyle w:val="ListParagraph"/>
              <w:numPr>
                <w:ilvl w:val="0"/>
                <w:numId w:val="23"/>
              </w:numPr>
              <w:contextualSpacing/>
              <w:rPr>
                <w:szCs w:val="24"/>
                <w:lang w:val="en-US"/>
              </w:rPr>
            </w:pPr>
            <w:r>
              <w:rPr>
                <w:sz w:val="18"/>
                <w:szCs w:val="18"/>
              </w:rPr>
              <w:t xml:space="preserve">Officers </w:t>
            </w:r>
            <w:r w:rsidRPr="00E06F0F">
              <w:rPr>
                <w:sz w:val="18"/>
                <w:szCs w:val="18"/>
              </w:rPr>
              <w:t>can liaise with the senior staff within Customer Services for assistance</w:t>
            </w:r>
          </w:p>
          <w:p w14:paraId="555EA3D5" w14:textId="77777777" w:rsidR="0069255E" w:rsidRPr="00AC4CCD" w:rsidRDefault="0069255E" w:rsidP="00051C40">
            <w:pPr>
              <w:contextualSpacing/>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2AC00151" w14:textId="77777777" w:rsidR="0069255E" w:rsidRPr="00005C9A" w:rsidRDefault="0069255E" w:rsidP="00051C40">
            <w:pPr>
              <w:spacing w:line="247" w:lineRule="auto"/>
              <w:ind w:left="171" w:right="141"/>
              <w:rPr>
                <w:rFonts w:cs="Arial"/>
                <w:szCs w:val="24"/>
                <w:lang w:val="en-US" w:eastAsia="en-GB"/>
              </w:rPr>
            </w:pPr>
            <w:r>
              <w:rPr>
                <w:rFonts w:cs="Arial"/>
                <w:szCs w:val="24"/>
                <w:lang w:val="en-US" w:eastAsia="en-GB"/>
              </w:rPr>
              <w:t>GREEN</w:t>
            </w:r>
          </w:p>
        </w:tc>
      </w:tr>
      <w:tr w:rsidR="0069255E" w14:paraId="57C60ED5" w14:textId="77777777" w:rsidTr="00051C4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30D69" w14:textId="77777777" w:rsidR="0069255E" w:rsidRDefault="0069255E" w:rsidP="00051C40">
            <w:pPr>
              <w:spacing w:line="247" w:lineRule="auto"/>
              <w:ind w:right="141"/>
              <w:rPr>
                <w:rFonts w:cs="Arial"/>
                <w:szCs w:val="24"/>
                <w:lang w:val="en-US" w:eastAsia="en-GB"/>
              </w:rPr>
            </w:pPr>
            <w:r>
              <w:rPr>
                <w:rFonts w:cs="Arial"/>
                <w:szCs w:val="24"/>
                <w:lang w:val="en-US" w:eastAsia="en-GB"/>
              </w:rPr>
              <w:t>The Complaints policy does not improve the customer experience</w:t>
            </w:r>
          </w:p>
          <w:p w14:paraId="0B66367C" w14:textId="77777777" w:rsidR="0069255E" w:rsidRDefault="0069255E" w:rsidP="00051C40">
            <w:pPr>
              <w:spacing w:line="247" w:lineRule="auto"/>
              <w:ind w:right="141"/>
              <w:rPr>
                <w:rFonts w:cs="Arial"/>
                <w:szCs w:val="24"/>
                <w:lang w:val="en-US" w:eastAsia="en-GB"/>
              </w:rPr>
            </w:pPr>
          </w:p>
          <w:p w14:paraId="6B44F582" w14:textId="77777777" w:rsidR="0069255E" w:rsidRDefault="0069255E" w:rsidP="00051C40">
            <w:pPr>
              <w:spacing w:line="247" w:lineRule="auto"/>
              <w:ind w:right="141"/>
              <w:rPr>
                <w:rFonts w:cs="Arial"/>
                <w:szCs w:val="24"/>
                <w:lang w:val="en-US" w:eastAsia="en-GB"/>
              </w:rPr>
            </w:pPr>
          </w:p>
          <w:p w14:paraId="4F8B5A7C" w14:textId="77777777" w:rsidR="0069255E" w:rsidRDefault="0069255E" w:rsidP="00051C40">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B345E" w14:textId="77777777" w:rsidR="0069255E" w:rsidRPr="00337EC0" w:rsidRDefault="0069255E" w:rsidP="0069255E">
            <w:pPr>
              <w:pStyle w:val="ListParagraph"/>
              <w:numPr>
                <w:ilvl w:val="0"/>
                <w:numId w:val="24"/>
              </w:numPr>
              <w:contextualSpacing/>
              <w:rPr>
                <w:sz w:val="18"/>
                <w:szCs w:val="18"/>
              </w:rPr>
            </w:pPr>
            <w:r w:rsidRPr="00337EC0">
              <w:rPr>
                <w:sz w:val="18"/>
                <w:szCs w:val="18"/>
              </w:rPr>
              <w:t xml:space="preserve">There are baseline measurements to understand the current position </w:t>
            </w:r>
          </w:p>
          <w:p w14:paraId="1EB4D484" w14:textId="77777777" w:rsidR="0069255E" w:rsidRDefault="0069255E" w:rsidP="00051C40">
            <w:pPr>
              <w:contextualSpacing/>
              <w:rPr>
                <w:rFonts w:cs="Arial"/>
                <w:sz w:val="18"/>
                <w:szCs w:val="18"/>
              </w:rPr>
            </w:pPr>
          </w:p>
          <w:p w14:paraId="1A4981AE" w14:textId="77777777" w:rsidR="0069255E" w:rsidRDefault="0069255E" w:rsidP="0069255E">
            <w:pPr>
              <w:pStyle w:val="ListParagraph"/>
              <w:numPr>
                <w:ilvl w:val="0"/>
                <w:numId w:val="24"/>
              </w:numPr>
              <w:contextualSpacing/>
              <w:rPr>
                <w:sz w:val="18"/>
                <w:szCs w:val="18"/>
              </w:rPr>
            </w:pPr>
            <w:r w:rsidRPr="00337EC0">
              <w:rPr>
                <w:sz w:val="18"/>
                <w:szCs w:val="18"/>
              </w:rPr>
              <w:t xml:space="preserve">These will be measured throughout the year so that any necessary restorative actions can take place </w:t>
            </w:r>
          </w:p>
          <w:p w14:paraId="1100ACC2" w14:textId="77777777" w:rsidR="0069255E" w:rsidRPr="00AC4CCD" w:rsidRDefault="0069255E" w:rsidP="00051C40">
            <w:pPr>
              <w:contextualSpacing/>
              <w:rPr>
                <w:rFonts w:cs="Arial"/>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61F038F6" w14:textId="77777777" w:rsidR="0069255E" w:rsidRDefault="0069255E" w:rsidP="00051C40">
            <w:pPr>
              <w:spacing w:line="247" w:lineRule="auto"/>
              <w:ind w:left="171" w:right="141"/>
              <w:rPr>
                <w:rFonts w:cs="Arial"/>
                <w:szCs w:val="24"/>
                <w:lang w:val="en-US" w:eastAsia="en-GB"/>
              </w:rPr>
            </w:pPr>
            <w:r>
              <w:rPr>
                <w:rFonts w:cs="Arial"/>
                <w:szCs w:val="24"/>
                <w:lang w:val="en-US" w:eastAsia="en-GB"/>
              </w:rPr>
              <w:t>GREEN</w:t>
            </w:r>
          </w:p>
        </w:tc>
      </w:tr>
      <w:tr w:rsidR="0069255E" w14:paraId="73E9A689" w14:textId="77777777" w:rsidTr="00051C4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3D692" w14:textId="77777777" w:rsidR="0069255E" w:rsidRDefault="0069255E" w:rsidP="00051C40">
            <w:pPr>
              <w:spacing w:line="247" w:lineRule="auto"/>
              <w:ind w:right="141"/>
              <w:rPr>
                <w:rFonts w:cs="Arial"/>
                <w:szCs w:val="24"/>
                <w:lang w:val="en-US" w:eastAsia="en-GB"/>
              </w:rPr>
            </w:pPr>
            <w:r w:rsidRPr="003F67BC">
              <w:rPr>
                <w:rFonts w:cs="Arial"/>
                <w:szCs w:val="24"/>
                <w:lang w:val="en-US" w:eastAsia="en-GB"/>
              </w:rPr>
              <w:t xml:space="preserve">Customers are unaware of the complaints policy and cannot access it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B8D09" w14:textId="77777777" w:rsidR="0069255E" w:rsidRDefault="0069255E" w:rsidP="0069255E">
            <w:pPr>
              <w:pStyle w:val="ListParagraph"/>
              <w:numPr>
                <w:ilvl w:val="0"/>
                <w:numId w:val="24"/>
              </w:numPr>
              <w:contextualSpacing/>
              <w:rPr>
                <w:sz w:val="18"/>
                <w:szCs w:val="18"/>
              </w:rPr>
            </w:pPr>
            <w:r w:rsidRPr="00B32802">
              <w:rPr>
                <w:sz w:val="18"/>
                <w:szCs w:val="18"/>
              </w:rPr>
              <w:t>The policy is available on-line</w:t>
            </w:r>
          </w:p>
          <w:p w14:paraId="3D1E5E9F" w14:textId="77777777" w:rsidR="0069255E" w:rsidRPr="00337EC0" w:rsidRDefault="0069255E" w:rsidP="0069255E">
            <w:pPr>
              <w:pStyle w:val="ListParagraph"/>
              <w:numPr>
                <w:ilvl w:val="0"/>
                <w:numId w:val="24"/>
              </w:numPr>
              <w:contextualSpacing/>
              <w:rPr>
                <w:sz w:val="18"/>
                <w:szCs w:val="18"/>
              </w:rPr>
            </w:pPr>
            <w:r>
              <w:rPr>
                <w:sz w:val="18"/>
                <w:szCs w:val="18"/>
              </w:rPr>
              <w:t xml:space="preserve">A copy of the policy </w:t>
            </w:r>
            <w:r w:rsidRPr="00B32802">
              <w:rPr>
                <w:sz w:val="18"/>
                <w:szCs w:val="18"/>
              </w:rPr>
              <w:t>can be obtained upon request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5120D71F" w14:textId="77777777" w:rsidR="0069255E" w:rsidRDefault="0069255E" w:rsidP="00051C40">
            <w:pPr>
              <w:spacing w:line="247" w:lineRule="auto"/>
              <w:ind w:left="171" w:right="141"/>
              <w:rPr>
                <w:rFonts w:cs="Arial"/>
                <w:szCs w:val="24"/>
                <w:lang w:val="en-US" w:eastAsia="en-GB"/>
              </w:rPr>
            </w:pPr>
            <w:r>
              <w:rPr>
                <w:rFonts w:cs="Arial"/>
                <w:szCs w:val="24"/>
                <w:lang w:val="en-US" w:eastAsia="en-GB"/>
              </w:rPr>
              <w:t>GREEN</w:t>
            </w:r>
          </w:p>
        </w:tc>
      </w:tr>
      <w:tr w:rsidR="0069255E" w14:paraId="441862AA" w14:textId="77777777" w:rsidTr="00051C4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6D3A6" w14:textId="77777777" w:rsidR="0069255E" w:rsidRDefault="0069255E" w:rsidP="00051C40">
            <w:pPr>
              <w:spacing w:line="247" w:lineRule="auto"/>
              <w:ind w:right="141"/>
              <w:rPr>
                <w:rFonts w:cs="Arial"/>
                <w:szCs w:val="24"/>
                <w:lang w:val="en-US" w:eastAsia="en-GB"/>
              </w:rPr>
            </w:pPr>
            <w:r w:rsidRPr="005172EE">
              <w:rPr>
                <w:rFonts w:cs="Arial"/>
                <w:szCs w:val="24"/>
                <w:lang w:val="en-US" w:eastAsia="en-GB"/>
              </w:rPr>
              <w:t xml:space="preserve">Customers do not understand the policy and/or find it confusing </w:t>
            </w:r>
          </w:p>
          <w:p w14:paraId="4C126723" w14:textId="77777777" w:rsidR="0069255E" w:rsidRDefault="0069255E" w:rsidP="00051C40">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B8FC4" w14:textId="77777777" w:rsidR="0069255E" w:rsidRDefault="0069255E" w:rsidP="0069255E">
            <w:pPr>
              <w:pStyle w:val="ListParagraph"/>
              <w:numPr>
                <w:ilvl w:val="0"/>
                <w:numId w:val="24"/>
              </w:numPr>
              <w:contextualSpacing/>
              <w:rPr>
                <w:sz w:val="18"/>
                <w:szCs w:val="18"/>
              </w:rPr>
            </w:pPr>
            <w:r>
              <w:rPr>
                <w:sz w:val="18"/>
                <w:szCs w:val="18"/>
              </w:rPr>
              <w:t>Council Officers are able to explain the policy</w:t>
            </w:r>
          </w:p>
          <w:p w14:paraId="4B973B2D" w14:textId="77777777" w:rsidR="0069255E" w:rsidRDefault="0069255E" w:rsidP="0069255E">
            <w:pPr>
              <w:pStyle w:val="ListParagraph"/>
              <w:numPr>
                <w:ilvl w:val="0"/>
                <w:numId w:val="24"/>
              </w:numPr>
              <w:contextualSpacing/>
              <w:rPr>
                <w:sz w:val="18"/>
                <w:szCs w:val="18"/>
              </w:rPr>
            </w:pPr>
            <w:r>
              <w:rPr>
                <w:sz w:val="18"/>
                <w:szCs w:val="18"/>
              </w:rPr>
              <w:t>Google Translate can be used to translate the policy into another language</w:t>
            </w:r>
          </w:p>
          <w:p w14:paraId="03C6199F" w14:textId="77777777" w:rsidR="0069255E" w:rsidRPr="00337EC0" w:rsidRDefault="0069255E" w:rsidP="00051C40">
            <w:pPr>
              <w:pStyle w:val="ListParagraph"/>
              <w:ind w:left="360"/>
              <w:contextualSpacing/>
              <w:rPr>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61D1AE4B" w14:textId="77777777" w:rsidR="0069255E" w:rsidRDefault="0069255E" w:rsidP="00051C40">
            <w:pPr>
              <w:spacing w:line="247" w:lineRule="auto"/>
              <w:ind w:left="171" w:right="141"/>
              <w:rPr>
                <w:rFonts w:cs="Arial"/>
                <w:szCs w:val="24"/>
                <w:lang w:val="en-US" w:eastAsia="en-GB"/>
              </w:rPr>
            </w:pPr>
            <w:r>
              <w:rPr>
                <w:rFonts w:cs="Arial"/>
                <w:szCs w:val="24"/>
                <w:lang w:val="en-US" w:eastAsia="en-GB"/>
              </w:rPr>
              <w:t>GREEN</w:t>
            </w:r>
          </w:p>
        </w:tc>
      </w:tr>
    </w:tbl>
    <w:bookmarkEnd w:id="1"/>
    <w:bookmarkEnd w:id="2"/>
    <w:p w14:paraId="44D33D1F" w14:textId="2990CA73" w:rsidR="00FD31A0" w:rsidRDefault="008C18A8" w:rsidP="003D2FFE">
      <w:pPr>
        <w:pStyle w:val="Heading2"/>
        <w:keepNext/>
        <w:spacing w:after="240"/>
      </w:pPr>
      <w:r>
        <w:t>6.0</w:t>
      </w:r>
      <w:r w:rsidR="00E73215">
        <w:t xml:space="preserve"> </w:t>
      </w:r>
      <w:r w:rsidR="00FD31A0" w:rsidRPr="004A2543">
        <w:t>Equalities implications</w:t>
      </w:r>
      <w:r w:rsidR="00213BE7">
        <w:t xml:space="preserve"> / Public Sector Equality Duty </w:t>
      </w:r>
    </w:p>
    <w:p w14:paraId="354F5D53" w14:textId="46830B6A" w:rsidR="00FD31A0" w:rsidRDefault="008C18A8" w:rsidP="00FD31A0">
      <w:pPr>
        <w:ind w:right="141"/>
        <w:rPr>
          <w:rFonts w:cs="Arial"/>
          <w:szCs w:val="24"/>
          <w:lang w:val="en-US"/>
        </w:rPr>
      </w:pPr>
      <w:r>
        <w:rPr>
          <w:rFonts w:cs="Arial"/>
          <w:szCs w:val="24"/>
          <w:lang w:val="en-US"/>
        </w:rPr>
        <w:t>6.1</w:t>
      </w:r>
      <w:r w:rsidR="00DE6C7E">
        <w:rPr>
          <w:rFonts w:cs="Arial"/>
          <w:szCs w:val="24"/>
          <w:lang w:val="en-US"/>
        </w:rPr>
        <w:t xml:space="preserve"> </w:t>
      </w:r>
      <w:r w:rsidR="00E26E4D">
        <w:rPr>
          <w:rFonts w:cs="Arial"/>
          <w:szCs w:val="24"/>
          <w:lang w:val="en-US"/>
        </w:rPr>
        <w:t>This report is to provide an overview of complaints received to the Council throughout the year 2022/23</w:t>
      </w:r>
    </w:p>
    <w:p w14:paraId="7CC95294" w14:textId="77777777" w:rsidR="0061249C" w:rsidRDefault="0061249C" w:rsidP="00FD31A0">
      <w:pPr>
        <w:ind w:right="141"/>
        <w:rPr>
          <w:rFonts w:cs="Arial"/>
          <w:szCs w:val="24"/>
          <w:lang w:val="en-US"/>
        </w:rPr>
      </w:pPr>
    </w:p>
    <w:p w14:paraId="5E55F72F" w14:textId="5E910132" w:rsidR="001A1080" w:rsidRPr="00DA0B4F" w:rsidRDefault="008C18A8" w:rsidP="001A1080">
      <w:pPr>
        <w:pStyle w:val="Sub1Textlist"/>
        <w:spacing w:before="120"/>
        <w:rPr>
          <w:rFonts w:ascii="Arial" w:eastAsia="Arial" w:hAnsi="Arial"/>
        </w:rPr>
      </w:pPr>
      <w:r>
        <w:rPr>
          <w:rFonts w:ascii="Arial" w:hAnsi="Arial"/>
        </w:rPr>
        <w:t xml:space="preserve">6.2 </w:t>
      </w:r>
      <w:r w:rsidR="00031EF6">
        <w:rPr>
          <w:rFonts w:ascii="Arial" w:hAnsi="Arial"/>
        </w:rPr>
        <w:t>I</w:t>
      </w:r>
      <w:r w:rsidR="0061249C" w:rsidRPr="00DA0B4F">
        <w:rPr>
          <w:rFonts w:ascii="Arial" w:hAnsi="Arial"/>
        </w:rPr>
        <w:t>t is a breach of the Member Code of Conduct to discriminate against people</w:t>
      </w:r>
      <w:r w:rsidR="009B48A5">
        <w:rPr>
          <w:rFonts w:ascii="Arial" w:hAnsi="Arial"/>
        </w:rPr>
        <w:t xml:space="preserve"> </w:t>
      </w:r>
      <w:r w:rsidR="0061249C" w:rsidRPr="00DA0B4F">
        <w:rPr>
          <w:rFonts w:ascii="Arial" w:hAnsi="Arial"/>
        </w:rPr>
        <w:t>on the grounds of  any of the protected characteristics in the Equality Act. Members have been provided with training in</w:t>
      </w:r>
      <w:r w:rsidR="0086100E">
        <w:rPr>
          <w:rFonts w:ascii="Arial" w:hAnsi="Arial"/>
        </w:rPr>
        <w:t xml:space="preserve"> the Code of Conduct </w:t>
      </w:r>
      <w:r w:rsidR="0061249C" w:rsidRPr="00DA0B4F">
        <w:rPr>
          <w:rFonts w:ascii="Arial" w:hAnsi="Arial"/>
        </w:rPr>
        <w:t>this area.</w:t>
      </w:r>
      <w:r w:rsidR="001A1080">
        <w:t xml:space="preserve"> </w:t>
      </w:r>
      <w:r w:rsidR="001A1080" w:rsidRPr="00DA0B4F">
        <w:rPr>
          <w:rFonts w:ascii="Arial" w:eastAsia="Arial" w:hAnsi="Arial"/>
        </w:rPr>
        <w:t>When dealing with complaints the Monitoring Officer consults the Member complained about and the Independent Person.</w:t>
      </w:r>
    </w:p>
    <w:p w14:paraId="666B7771" w14:textId="6F358FFB" w:rsidR="00CC02E2" w:rsidRPr="00EC6FE9" w:rsidRDefault="008C18A8" w:rsidP="00CC02E2">
      <w:pPr>
        <w:pStyle w:val="Heading4"/>
        <w:spacing w:before="480"/>
      </w:pPr>
      <w:r>
        <w:t xml:space="preserve">7.0 </w:t>
      </w:r>
      <w:r w:rsidR="00CC02E2" w:rsidRPr="00EC6FE9">
        <w:t>Council Priorities</w:t>
      </w:r>
    </w:p>
    <w:p w14:paraId="6D789624" w14:textId="5ECEE2E5" w:rsidR="00CC02E2" w:rsidRDefault="00D04418" w:rsidP="00CC02E2">
      <w:pPr>
        <w:rPr>
          <w:rFonts w:cs="Arial"/>
          <w:szCs w:val="24"/>
          <w:lang w:val="en-US"/>
        </w:rPr>
      </w:pPr>
      <w:r>
        <w:rPr>
          <w:rFonts w:cs="Arial"/>
          <w:szCs w:val="24"/>
          <w:lang w:val="en-US"/>
        </w:rPr>
        <w:t>Dealing effectively with complaints assists the council with putting residents firs</w:t>
      </w:r>
      <w:r w:rsidR="002963B0">
        <w:rPr>
          <w:rFonts w:cs="Arial"/>
          <w:szCs w:val="24"/>
          <w:lang w:val="en-US"/>
        </w:rPr>
        <w:t>t.</w:t>
      </w:r>
    </w:p>
    <w:p w14:paraId="4624D412" w14:textId="77777777" w:rsidR="00CC02E2" w:rsidRPr="00CD57D8" w:rsidRDefault="00CC02E2" w:rsidP="00CC02E2">
      <w:pPr>
        <w:rPr>
          <w:rFonts w:cs="Arial"/>
          <w:szCs w:val="24"/>
          <w:lang w:val="en-US"/>
        </w:rPr>
      </w:pPr>
    </w:p>
    <w:p w14:paraId="0DE88D16" w14:textId="77777777" w:rsidR="00CC02E2" w:rsidRDefault="00CC02E2" w:rsidP="00CC02E2">
      <w:pPr>
        <w:pStyle w:val="StyleListParagraphBold"/>
        <w:numPr>
          <w:ilvl w:val="0"/>
          <w:numId w:val="16"/>
        </w:numPr>
        <w:rPr>
          <w:lang w:eastAsia="en-US"/>
        </w:rPr>
      </w:pPr>
      <w:r w:rsidRPr="00752110">
        <w:t>A council that puts residents first</w:t>
      </w:r>
    </w:p>
    <w:p w14:paraId="2D79309A" w14:textId="77777777" w:rsidR="00CC02E2" w:rsidRPr="00752110" w:rsidRDefault="00CC02E2" w:rsidP="00CC02E2">
      <w:pPr>
        <w:pStyle w:val="StyleListParagraphBold"/>
        <w:rPr>
          <w:lang w:eastAsia="en-US"/>
        </w:rPr>
      </w:pPr>
    </w:p>
    <w:p w14:paraId="1D4A52D9" w14:textId="77777777" w:rsidR="00CC02E2" w:rsidRDefault="00CC02E2" w:rsidP="00CC02E2">
      <w:pPr>
        <w:pStyle w:val="StyleListParagraphBold"/>
        <w:numPr>
          <w:ilvl w:val="0"/>
          <w:numId w:val="16"/>
        </w:numPr>
      </w:pPr>
      <w:r w:rsidRPr="00752110">
        <w:t>A borough that is clean and safe</w:t>
      </w:r>
    </w:p>
    <w:p w14:paraId="47590C93" w14:textId="77777777" w:rsidR="00CC02E2" w:rsidRPr="00752110" w:rsidRDefault="00CC02E2" w:rsidP="00CC02E2">
      <w:pPr>
        <w:pStyle w:val="StyleListParagraphBold"/>
        <w:ind w:left="0"/>
      </w:pPr>
    </w:p>
    <w:p w14:paraId="3E4430A7" w14:textId="77777777" w:rsidR="00CC02E2" w:rsidRPr="00752110" w:rsidRDefault="00CC02E2" w:rsidP="00CC02E2">
      <w:pPr>
        <w:pStyle w:val="StyleListParagraphBold"/>
        <w:numPr>
          <w:ilvl w:val="0"/>
          <w:numId w:val="16"/>
        </w:numPr>
      </w:pPr>
      <w:r w:rsidRPr="00752110">
        <w:t>A place where those in need are supported</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7777777" w:rsidR="00912904" w:rsidRPr="00A66326" w:rsidRDefault="00912904" w:rsidP="00912904">
      <w:pPr>
        <w:rPr>
          <w:sz w:val="28"/>
        </w:rPr>
      </w:pPr>
      <w:r w:rsidRPr="00A66326">
        <w:rPr>
          <w:b/>
          <w:sz w:val="28"/>
        </w:rPr>
        <w:t xml:space="preserve">Statutory Officer:  </w:t>
      </w:r>
    </w:p>
    <w:p w14:paraId="57640BD9" w14:textId="74F35654" w:rsidR="00912904" w:rsidRPr="00A66326" w:rsidRDefault="00912904" w:rsidP="00912904">
      <w:r w:rsidRPr="00A66326">
        <w:t>Signed by the Chief Financial Officer</w:t>
      </w:r>
      <w:r w:rsidR="004A1AA6">
        <w:t xml:space="preserve"> : Sharon Daniels</w:t>
      </w:r>
    </w:p>
    <w:p w14:paraId="5745A2E3" w14:textId="787D932F" w:rsidR="00912904" w:rsidRPr="00A66326" w:rsidRDefault="00912904" w:rsidP="00912904">
      <w:pPr>
        <w:spacing w:after="480"/>
        <w:rPr>
          <w:sz w:val="28"/>
        </w:rPr>
      </w:pPr>
      <w:r w:rsidRPr="00A66326">
        <w:rPr>
          <w:b/>
          <w:sz w:val="28"/>
        </w:rPr>
        <w:t xml:space="preserve">Date:  </w:t>
      </w:r>
      <w:r w:rsidR="004A1AA6">
        <w:rPr>
          <w:b/>
          <w:sz w:val="28"/>
        </w:rPr>
        <w:t>20.11.23</w:t>
      </w:r>
    </w:p>
    <w:p w14:paraId="2586CC50" w14:textId="77777777" w:rsidR="00912904" w:rsidRPr="00A66326" w:rsidRDefault="00912904" w:rsidP="00912904">
      <w:pPr>
        <w:rPr>
          <w:sz w:val="28"/>
        </w:rPr>
      </w:pPr>
      <w:r w:rsidRPr="00A66326">
        <w:rPr>
          <w:b/>
          <w:sz w:val="28"/>
        </w:rPr>
        <w:t xml:space="preserve">Statutory Officer:  </w:t>
      </w:r>
    </w:p>
    <w:p w14:paraId="3F58D77A" w14:textId="4E09F62A" w:rsidR="00912904" w:rsidRPr="00A66326" w:rsidRDefault="00912904" w:rsidP="00912904">
      <w:r w:rsidRPr="00A66326">
        <w:t xml:space="preserve">Signed </w:t>
      </w:r>
      <w:r w:rsidR="008C18A8">
        <w:t>by</w:t>
      </w:r>
      <w:r w:rsidRPr="00A66326">
        <w:t xml:space="preserve"> the Monitoring Officer</w:t>
      </w:r>
      <w:r w:rsidR="008C18A8">
        <w:t xml:space="preserve"> : Jessica Farmer</w:t>
      </w:r>
    </w:p>
    <w:p w14:paraId="61F8C7E6" w14:textId="43BC2917" w:rsidR="00912904" w:rsidRPr="003313EA" w:rsidRDefault="00912904" w:rsidP="00912904">
      <w:pPr>
        <w:spacing w:after="480"/>
        <w:rPr>
          <w:sz w:val="28"/>
        </w:rPr>
      </w:pPr>
      <w:r w:rsidRPr="00A66326">
        <w:rPr>
          <w:b/>
          <w:sz w:val="28"/>
        </w:rPr>
        <w:t xml:space="preserve">Date:  </w:t>
      </w:r>
      <w:r w:rsidR="008C18A8">
        <w:rPr>
          <w:b/>
          <w:sz w:val="28"/>
        </w:rPr>
        <w:t>20.11.23</w:t>
      </w:r>
    </w:p>
    <w:p w14:paraId="686CE5D8" w14:textId="77777777" w:rsidR="00912904" w:rsidRPr="00435B5D" w:rsidRDefault="00912904" w:rsidP="00912904">
      <w:pPr>
        <w:pStyle w:val="Heading2"/>
        <w:spacing w:after="240"/>
      </w:pPr>
      <w:r>
        <w:t>Mandatory Checks</w:t>
      </w:r>
    </w:p>
    <w:p w14:paraId="34BA8136" w14:textId="5B19F49D"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71FBC41D" w14:textId="62F7E506"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1C4BF2D4" w14:textId="0804F6B9" w:rsidR="002A2389" w:rsidRDefault="002A2389">
      <w:pPr>
        <w:pStyle w:val="Infotext"/>
        <w:rPr>
          <w:rFonts w:cs="Arial"/>
          <w:sz w:val="24"/>
        </w:rPr>
      </w:pPr>
      <w:r w:rsidRPr="00D914D2">
        <w:rPr>
          <w:b/>
        </w:rPr>
        <w:t>Contact:</w:t>
      </w:r>
      <w:r>
        <w:t xml:space="preserve">  </w:t>
      </w:r>
      <w:r w:rsidR="0000301D">
        <w:tab/>
      </w:r>
      <w:r w:rsidR="0071505A">
        <w:rPr>
          <w:rFonts w:cs="Arial"/>
          <w:sz w:val="24"/>
        </w:rPr>
        <w:t>Jonathan Milbourn</w:t>
      </w:r>
    </w:p>
    <w:p w14:paraId="40B0F3A0" w14:textId="1C83D166" w:rsidR="0000301D" w:rsidRDefault="0000301D">
      <w:pPr>
        <w:pStyle w:val="Infotext"/>
        <w:rPr>
          <w:rFonts w:cs="Arial"/>
          <w:sz w:val="24"/>
        </w:rPr>
      </w:pPr>
      <w:r>
        <w:rPr>
          <w:rFonts w:cs="Arial"/>
          <w:sz w:val="24"/>
        </w:rPr>
        <w:tab/>
      </w:r>
      <w:r>
        <w:rPr>
          <w:rFonts w:cs="Arial"/>
          <w:sz w:val="24"/>
        </w:rPr>
        <w:tab/>
        <w:t>Assistant Director for Digital, Data &amp; The Customer Experience</w:t>
      </w:r>
    </w:p>
    <w:p w14:paraId="5BB3B5E1" w14:textId="134C1020" w:rsidR="00076FD3" w:rsidRDefault="00076FD3">
      <w:pPr>
        <w:pStyle w:val="Infotext"/>
      </w:pPr>
      <w:r>
        <w:rPr>
          <w:rFonts w:cs="Arial"/>
          <w:sz w:val="24"/>
        </w:rPr>
        <w:tab/>
      </w:r>
      <w:r>
        <w:rPr>
          <w:rFonts w:cs="Arial"/>
          <w:sz w:val="24"/>
        </w:rPr>
        <w:tab/>
      </w:r>
      <w:hyperlink r:id="rId16" w:history="1">
        <w:r w:rsidRPr="00E628E7">
          <w:rPr>
            <w:rStyle w:val="Hyperlink"/>
            <w:rFonts w:cs="Arial"/>
            <w:sz w:val="24"/>
          </w:rPr>
          <w:t>Jonathan.milbourn@harrow.gov.uk</w:t>
        </w:r>
      </w:hyperlink>
      <w:r>
        <w:rPr>
          <w:rFonts w:cs="Arial"/>
          <w:sz w:val="24"/>
        </w:rPr>
        <w:t xml:space="preserve"> : 020 8863 5611</w:t>
      </w:r>
    </w:p>
    <w:p w14:paraId="73346C42" w14:textId="77777777" w:rsidR="00383441" w:rsidRDefault="002A2389" w:rsidP="00912904">
      <w:pPr>
        <w:pStyle w:val="Infotext"/>
        <w:spacing w:before="360"/>
      </w:pPr>
      <w:r w:rsidRPr="00D914D2">
        <w:rPr>
          <w:b/>
        </w:rPr>
        <w:t>Background Papers</w:t>
      </w:r>
      <w:r>
        <w:t xml:space="preserve">:  </w:t>
      </w:r>
      <w:r w:rsidR="00383441">
        <w:t>NONE</w:t>
      </w:r>
    </w:p>
    <w:p w14:paraId="0AC2AC5C" w14:textId="03276B22" w:rsidR="00912904" w:rsidRDefault="00912904">
      <w:pPr>
        <w:pStyle w:val="Infotext"/>
        <w:tabs>
          <w:tab w:val="left" w:pos="656"/>
          <w:tab w:val="left" w:pos="6399"/>
        </w:tabs>
      </w:pP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ACD7" w14:textId="77777777" w:rsidR="005F7871" w:rsidRDefault="005F7871">
      <w:r>
        <w:separator/>
      </w:r>
    </w:p>
  </w:endnote>
  <w:endnote w:type="continuationSeparator" w:id="0">
    <w:p w14:paraId="00667A3B" w14:textId="77777777" w:rsidR="005F7871" w:rsidRDefault="005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21C8" w14:textId="77777777" w:rsidR="005F7871" w:rsidRDefault="005F7871">
      <w:r>
        <w:separator/>
      </w:r>
    </w:p>
  </w:footnote>
  <w:footnote w:type="continuationSeparator" w:id="0">
    <w:p w14:paraId="6677C54E" w14:textId="77777777" w:rsidR="005F7871" w:rsidRDefault="005F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144"/>
    <w:multiLevelType w:val="multilevel"/>
    <w:tmpl w:val="01F8D82A"/>
    <w:lvl w:ilvl="0">
      <w:start w:val="1"/>
      <w:numFmt w:val="decimal"/>
      <w:lvlText w:val="%1."/>
      <w:lvlJc w:val="left"/>
      <w:pPr>
        <w:ind w:left="567" w:hanging="170"/>
      </w:pPr>
      <w:rPr>
        <w:b/>
      </w:rPr>
    </w:lvl>
    <w:lvl w:ilvl="1">
      <w:start w:val="1"/>
      <w:numFmt w:val="decimal"/>
      <w:lvlText w:val="%1.%2"/>
      <w:lvlJc w:val="left"/>
      <w:pPr>
        <w:ind w:left="170" w:hanging="170"/>
      </w:pPr>
      <w:rPr>
        <w:specVanish w:val="0"/>
      </w:rPr>
    </w:lvl>
    <w:lvl w:ilvl="2">
      <w:start w:val="1"/>
      <w:numFmt w:val="decimal"/>
      <w:lvlText w:val="6.1"/>
      <w:lvlJc w:val="left"/>
      <w:pPr>
        <w:ind w:left="927" w:hanging="360"/>
      </w:pPr>
    </w:lvl>
    <w:lvl w:ilvl="3">
      <w:start w:val="1"/>
      <w:numFmt w:val="decimal"/>
      <w:lvlText w:val="%1.%2%3.%4"/>
      <w:lvlJc w:val="left"/>
      <w:pPr>
        <w:ind w:left="567" w:hanging="170"/>
      </w:pPr>
    </w:lvl>
    <w:lvl w:ilvl="4">
      <w:start w:val="1"/>
      <w:numFmt w:val="decimal"/>
      <w:lvlText w:val="%1.%2.%3.%4.%5"/>
      <w:lvlJc w:val="left"/>
      <w:pPr>
        <w:ind w:left="567" w:hanging="170"/>
      </w:pPr>
    </w:lvl>
    <w:lvl w:ilvl="5">
      <w:start w:val="1"/>
      <w:numFmt w:val="decimal"/>
      <w:lvlText w:val="%1.%2.%3.%4.%5.%6"/>
      <w:lvlJc w:val="left"/>
      <w:pPr>
        <w:ind w:left="567" w:hanging="170"/>
      </w:pPr>
    </w:lvl>
    <w:lvl w:ilvl="6">
      <w:start w:val="1"/>
      <w:numFmt w:val="decimal"/>
      <w:lvlText w:val="%1.%2.%3.%4.%5.%6.%7"/>
      <w:lvlJc w:val="left"/>
      <w:pPr>
        <w:ind w:left="567" w:hanging="170"/>
      </w:pPr>
    </w:lvl>
    <w:lvl w:ilvl="7">
      <w:start w:val="1"/>
      <w:numFmt w:val="decimal"/>
      <w:lvlText w:val="%1.%2.%3.%4.%5.%6.%7.%8"/>
      <w:lvlJc w:val="left"/>
      <w:pPr>
        <w:ind w:left="567" w:hanging="170"/>
      </w:pPr>
    </w:lvl>
    <w:lvl w:ilvl="8">
      <w:start w:val="1"/>
      <w:numFmt w:val="decimal"/>
      <w:lvlText w:val="%1.%2.%3.%4.%5.%6.%7.%8.%9"/>
      <w:lvlJc w:val="left"/>
      <w:pPr>
        <w:ind w:left="567" w:hanging="17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E4252"/>
    <w:multiLevelType w:val="hybridMultilevel"/>
    <w:tmpl w:val="C816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6282"/>
    <w:multiLevelType w:val="hybridMultilevel"/>
    <w:tmpl w:val="CA6C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81816"/>
    <w:multiLevelType w:val="hybridMultilevel"/>
    <w:tmpl w:val="159C5312"/>
    <w:lvl w:ilvl="0" w:tplc="369427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180B7A"/>
    <w:multiLevelType w:val="hybridMultilevel"/>
    <w:tmpl w:val="F5BCE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980B68"/>
    <w:multiLevelType w:val="hybridMultilevel"/>
    <w:tmpl w:val="0B78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D20B0"/>
    <w:multiLevelType w:val="hybridMultilevel"/>
    <w:tmpl w:val="56C2C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27945"/>
    <w:multiLevelType w:val="hybridMultilevel"/>
    <w:tmpl w:val="4F56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05749"/>
    <w:multiLevelType w:val="hybridMultilevel"/>
    <w:tmpl w:val="BBF8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B5D62"/>
    <w:multiLevelType w:val="hybridMultilevel"/>
    <w:tmpl w:val="9A7A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294459">
    <w:abstractNumId w:val="24"/>
  </w:num>
  <w:num w:numId="2" w16cid:durableId="281421632">
    <w:abstractNumId w:val="16"/>
  </w:num>
  <w:num w:numId="3" w16cid:durableId="819076666">
    <w:abstractNumId w:val="23"/>
  </w:num>
  <w:num w:numId="4" w16cid:durableId="563222970">
    <w:abstractNumId w:val="2"/>
  </w:num>
  <w:num w:numId="5" w16cid:durableId="597199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2285272">
    <w:abstractNumId w:val="10"/>
  </w:num>
  <w:num w:numId="7" w16cid:durableId="1876624691">
    <w:abstractNumId w:val="13"/>
  </w:num>
  <w:num w:numId="8" w16cid:durableId="540630687">
    <w:abstractNumId w:val="7"/>
  </w:num>
  <w:num w:numId="9" w16cid:durableId="830095860">
    <w:abstractNumId w:val="6"/>
  </w:num>
  <w:num w:numId="10" w16cid:durableId="1661034764">
    <w:abstractNumId w:val="22"/>
  </w:num>
  <w:num w:numId="11" w16cid:durableId="1590187774">
    <w:abstractNumId w:val="25"/>
  </w:num>
  <w:num w:numId="12" w16cid:durableId="2056153764">
    <w:abstractNumId w:val="19"/>
  </w:num>
  <w:num w:numId="13" w16cid:durableId="2137479983">
    <w:abstractNumId w:val="4"/>
  </w:num>
  <w:num w:numId="14" w16cid:durableId="723915313">
    <w:abstractNumId w:val="9"/>
  </w:num>
  <w:num w:numId="15" w16cid:durableId="1230113628">
    <w:abstractNumId w:val="15"/>
  </w:num>
  <w:num w:numId="16" w16cid:durableId="825586076">
    <w:abstractNumId w:val="14"/>
  </w:num>
  <w:num w:numId="17" w16cid:durableId="975642420">
    <w:abstractNumId w:val="1"/>
  </w:num>
  <w:num w:numId="18" w16cid:durableId="1290698168">
    <w:abstractNumId w:val="18"/>
  </w:num>
  <w:num w:numId="19" w16cid:durableId="657341293">
    <w:abstractNumId w:val="5"/>
  </w:num>
  <w:num w:numId="20" w16cid:durableId="1459060463">
    <w:abstractNumId w:val="20"/>
  </w:num>
  <w:num w:numId="21" w16cid:durableId="1174536854">
    <w:abstractNumId w:val="21"/>
  </w:num>
  <w:num w:numId="22" w16cid:durableId="866141343">
    <w:abstractNumId w:val="11"/>
  </w:num>
  <w:num w:numId="23" w16cid:durableId="897671322">
    <w:abstractNumId w:val="17"/>
  </w:num>
  <w:num w:numId="24" w16cid:durableId="884607081">
    <w:abstractNumId w:val="12"/>
  </w:num>
  <w:num w:numId="25" w16cid:durableId="235283966">
    <w:abstractNumId w:val="0"/>
  </w:num>
  <w:num w:numId="26" w16cid:durableId="1053499638">
    <w:abstractNumId w:val="3"/>
  </w:num>
  <w:num w:numId="27" w16cid:durableId="1621184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301D"/>
    <w:rsid w:val="00003F48"/>
    <w:rsid w:val="00004258"/>
    <w:rsid w:val="00012104"/>
    <w:rsid w:val="00014518"/>
    <w:rsid w:val="0001714D"/>
    <w:rsid w:val="00022807"/>
    <w:rsid w:val="00023F4C"/>
    <w:rsid w:val="00031EF6"/>
    <w:rsid w:val="00033C98"/>
    <w:rsid w:val="00057F10"/>
    <w:rsid w:val="000633A2"/>
    <w:rsid w:val="00071EB4"/>
    <w:rsid w:val="00074D57"/>
    <w:rsid w:val="0007561A"/>
    <w:rsid w:val="00076FD3"/>
    <w:rsid w:val="00077298"/>
    <w:rsid w:val="00083EC9"/>
    <w:rsid w:val="000947D3"/>
    <w:rsid w:val="00096A99"/>
    <w:rsid w:val="000A0D34"/>
    <w:rsid w:val="000A58A1"/>
    <w:rsid w:val="000A6659"/>
    <w:rsid w:val="000B0E6F"/>
    <w:rsid w:val="000B113C"/>
    <w:rsid w:val="000B13A7"/>
    <w:rsid w:val="000B56C9"/>
    <w:rsid w:val="000B6DBB"/>
    <w:rsid w:val="000C07DD"/>
    <w:rsid w:val="000D12B3"/>
    <w:rsid w:val="000D2BF2"/>
    <w:rsid w:val="000D3402"/>
    <w:rsid w:val="000D5870"/>
    <w:rsid w:val="000E53BF"/>
    <w:rsid w:val="000F65C0"/>
    <w:rsid w:val="00100F8E"/>
    <w:rsid w:val="00101BFB"/>
    <w:rsid w:val="00102F85"/>
    <w:rsid w:val="001202DA"/>
    <w:rsid w:val="00121944"/>
    <w:rsid w:val="00123861"/>
    <w:rsid w:val="00126E30"/>
    <w:rsid w:val="00132CF2"/>
    <w:rsid w:val="001419C6"/>
    <w:rsid w:val="00141C6D"/>
    <w:rsid w:val="00145BF8"/>
    <w:rsid w:val="001468E4"/>
    <w:rsid w:val="00155E58"/>
    <w:rsid w:val="00167DEC"/>
    <w:rsid w:val="00173C02"/>
    <w:rsid w:val="00175DC2"/>
    <w:rsid w:val="001939BA"/>
    <w:rsid w:val="001970EC"/>
    <w:rsid w:val="001A1080"/>
    <w:rsid w:val="001A5592"/>
    <w:rsid w:val="001A6EB0"/>
    <w:rsid w:val="001B441D"/>
    <w:rsid w:val="001C5225"/>
    <w:rsid w:val="001C6190"/>
    <w:rsid w:val="001C6441"/>
    <w:rsid w:val="001E0219"/>
    <w:rsid w:val="001E1E9D"/>
    <w:rsid w:val="00213BE7"/>
    <w:rsid w:val="00216321"/>
    <w:rsid w:val="00231A1D"/>
    <w:rsid w:val="00232D07"/>
    <w:rsid w:val="00244120"/>
    <w:rsid w:val="00255442"/>
    <w:rsid w:val="00255A60"/>
    <w:rsid w:val="002661B0"/>
    <w:rsid w:val="0027036A"/>
    <w:rsid w:val="00286D90"/>
    <w:rsid w:val="002870D1"/>
    <w:rsid w:val="00293F9F"/>
    <w:rsid w:val="002963B0"/>
    <w:rsid w:val="002A2389"/>
    <w:rsid w:val="002B0871"/>
    <w:rsid w:val="002B2640"/>
    <w:rsid w:val="002B32C2"/>
    <w:rsid w:val="002C08E2"/>
    <w:rsid w:val="002C1794"/>
    <w:rsid w:val="002D0C41"/>
    <w:rsid w:val="002D275D"/>
    <w:rsid w:val="002D2FC5"/>
    <w:rsid w:val="002D35E0"/>
    <w:rsid w:val="002E31B6"/>
    <w:rsid w:val="002E6637"/>
    <w:rsid w:val="002E77E3"/>
    <w:rsid w:val="002F1A11"/>
    <w:rsid w:val="002F4500"/>
    <w:rsid w:val="002F5536"/>
    <w:rsid w:val="002F7E7A"/>
    <w:rsid w:val="00307EBC"/>
    <w:rsid w:val="003166EF"/>
    <w:rsid w:val="00317AE6"/>
    <w:rsid w:val="00317B93"/>
    <w:rsid w:val="00321052"/>
    <w:rsid w:val="0032306B"/>
    <w:rsid w:val="00327889"/>
    <w:rsid w:val="00332947"/>
    <w:rsid w:val="00333EB4"/>
    <w:rsid w:val="003377D1"/>
    <w:rsid w:val="00345915"/>
    <w:rsid w:val="0035169F"/>
    <w:rsid w:val="0035554F"/>
    <w:rsid w:val="00365004"/>
    <w:rsid w:val="00365376"/>
    <w:rsid w:val="00365A0E"/>
    <w:rsid w:val="00365D29"/>
    <w:rsid w:val="003738BA"/>
    <w:rsid w:val="00374C1C"/>
    <w:rsid w:val="00374F22"/>
    <w:rsid w:val="003830A2"/>
    <w:rsid w:val="00383441"/>
    <w:rsid w:val="00386D8C"/>
    <w:rsid w:val="00390376"/>
    <w:rsid w:val="00390D78"/>
    <w:rsid w:val="00393D3D"/>
    <w:rsid w:val="003A3011"/>
    <w:rsid w:val="003A6B89"/>
    <w:rsid w:val="003C311F"/>
    <w:rsid w:val="003C3A78"/>
    <w:rsid w:val="003C66C8"/>
    <w:rsid w:val="003D2FFE"/>
    <w:rsid w:val="003D5F0A"/>
    <w:rsid w:val="003D7881"/>
    <w:rsid w:val="003D7A69"/>
    <w:rsid w:val="003E1FC4"/>
    <w:rsid w:val="003E3C60"/>
    <w:rsid w:val="003E756F"/>
    <w:rsid w:val="003F5326"/>
    <w:rsid w:val="003F605B"/>
    <w:rsid w:val="00400032"/>
    <w:rsid w:val="00402BCC"/>
    <w:rsid w:val="00405F7F"/>
    <w:rsid w:val="004127C4"/>
    <w:rsid w:val="00413F11"/>
    <w:rsid w:val="00415068"/>
    <w:rsid w:val="00416632"/>
    <w:rsid w:val="0042394B"/>
    <w:rsid w:val="00424B5D"/>
    <w:rsid w:val="00432926"/>
    <w:rsid w:val="00435E70"/>
    <w:rsid w:val="00444673"/>
    <w:rsid w:val="004473AC"/>
    <w:rsid w:val="004534DE"/>
    <w:rsid w:val="00455C80"/>
    <w:rsid w:val="00457145"/>
    <w:rsid w:val="0046441A"/>
    <w:rsid w:val="00466A83"/>
    <w:rsid w:val="00467602"/>
    <w:rsid w:val="00467E33"/>
    <w:rsid w:val="00473B08"/>
    <w:rsid w:val="00474737"/>
    <w:rsid w:val="00474B5F"/>
    <w:rsid w:val="00476207"/>
    <w:rsid w:val="00484043"/>
    <w:rsid w:val="00485601"/>
    <w:rsid w:val="00486292"/>
    <w:rsid w:val="0049673B"/>
    <w:rsid w:val="004A1AA6"/>
    <w:rsid w:val="004A1B11"/>
    <w:rsid w:val="004A3BF8"/>
    <w:rsid w:val="004A3CE6"/>
    <w:rsid w:val="004A4A1D"/>
    <w:rsid w:val="004B2C9D"/>
    <w:rsid w:val="004B4A47"/>
    <w:rsid w:val="004B6736"/>
    <w:rsid w:val="004B7DE3"/>
    <w:rsid w:val="004C4E72"/>
    <w:rsid w:val="004D2DED"/>
    <w:rsid w:val="004D4010"/>
    <w:rsid w:val="004D4866"/>
    <w:rsid w:val="004D515E"/>
    <w:rsid w:val="004E03D9"/>
    <w:rsid w:val="004E40A5"/>
    <w:rsid w:val="004E667D"/>
    <w:rsid w:val="004E6AF5"/>
    <w:rsid w:val="004E6AF9"/>
    <w:rsid w:val="005031DF"/>
    <w:rsid w:val="005044E4"/>
    <w:rsid w:val="00507782"/>
    <w:rsid w:val="00510D4E"/>
    <w:rsid w:val="005328A2"/>
    <w:rsid w:val="00570432"/>
    <w:rsid w:val="005849EE"/>
    <w:rsid w:val="005870AB"/>
    <w:rsid w:val="00591683"/>
    <w:rsid w:val="00594FFF"/>
    <w:rsid w:val="00595398"/>
    <w:rsid w:val="00597314"/>
    <w:rsid w:val="00597C94"/>
    <w:rsid w:val="005A61AF"/>
    <w:rsid w:val="005B1088"/>
    <w:rsid w:val="005C2120"/>
    <w:rsid w:val="005C403F"/>
    <w:rsid w:val="005C788E"/>
    <w:rsid w:val="005D0886"/>
    <w:rsid w:val="005D117A"/>
    <w:rsid w:val="005E22E1"/>
    <w:rsid w:val="005E3662"/>
    <w:rsid w:val="005E384D"/>
    <w:rsid w:val="005F195B"/>
    <w:rsid w:val="005F2181"/>
    <w:rsid w:val="005F2282"/>
    <w:rsid w:val="005F2E27"/>
    <w:rsid w:val="005F3721"/>
    <w:rsid w:val="005F724B"/>
    <w:rsid w:val="005F7871"/>
    <w:rsid w:val="00606705"/>
    <w:rsid w:val="0061249C"/>
    <w:rsid w:val="006143E2"/>
    <w:rsid w:val="00615763"/>
    <w:rsid w:val="00617E53"/>
    <w:rsid w:val="00620A18"/>
    <w:rsid w:val="00621E9C"/>
    <w:rsid w:val="006245ED"/>
    <w:rsid w:val="00624945"/>
    <w:rsid w:val="00625DFF"/>
    <w:rsid w:val="00626472"/>
    <w:rsid w:val="00626D8B"/>
    <w:rsid w:val="0063072B"/>
    <w:rsid w:val="006336FF"/>
    <w:rsid w:val="00633871"/>
    <w:rsid w:val="0063561E"/>
    <w:rsid w:val="006546B1"/>
    <w:rsid w:val="00654D96"/>
    <w:rsid w:val="00662891"/>
    <w:rsid w:val="006628B7"/>
    <w:rsid w:val="0066719D"/>
    <w:rsid w:val="00675FCB"/>
    <w:rsid w:val="006773DE"/>
    <w:rsid w:val="0068178D"/>
    <w:rsid w:val="00686FDD"/>
    <w:rsid w:val="00687B33"/>
    <w:rsid w:val="0069255E"/>
    <w:rsid w:val="0069261C"/>
    <w:rsid w:val="0069433A"/>
    <w:rsid w:val="00695851"/>
    <w:rsid w:val="006978A8"/>
    <w:rsid w:val="006A0B87"/>
    <w:rsid w:val="006A233C"/>
    <w:rsid w:val="006A477D"/>
    <w:rsid w:val="006B1767"/>
    <w:rsid w:val="006B3942"/>
    <w:rsid w:val="006B5E2E"/>
    <w:rsid w:val="006C1FC9"/>
    <w:rsid w:val="006C3914"/>
    <w:rsid w:val="006C4D4C"/>
    <w:rsid w:val="006C6A50"/>
    <w:rsid w:val="006D3648"/>
    <w:rsid w:val="006D6F96"/>
    <w:rsid w:val="006E26A1"/>
    <w:rsid w:val="006E390F"/>
    <w:rsid w:val="006F1291"/>
    <w:rsid w:val="0070242A"/>
    <w:rsid w:val="00702D3B"/>
    <w:rsid w:val="0071505A"/>
    <w:rsid w:val="00717E8A"/>
    <w:rsid w:val="00731907"/>
    <w:rsid w:val="0074184E"/>
    <w:rsid w:val="0074228B"/>
    <w:rsid w:val="00743829"/>
    <w:rsid w:val="007440C9"/>
    <w:rsid w:val="00755275"/>
    <w:rsid w:val="00755F8D"/>
    <w:rsid w:val="00760252"/>
    <w:rsid w:val="00763327"/>
    <w:rsid w:val="0076654D"/>
    <w:rsid w:val="0077508D"/>
    <w:rsid w:val="00777A61"/>
    <w:rsid w:val="007855AE"/>
    <w:rsid w:val="00796503"/>
    <w:rsid w:val="007A3585"/>
    <w:rsid w:val="007A5D35"/>
    <w:rsid w:val="007B0CB6"/>
    <w:rsid w:val="007C13EF"/>
    <w:rsid w:val="007C78E9"/>
    <w:rsid w:val="007D2BDA"/>
    <w:rsid w:val="007D3BF4"/>
    <w:rsid w:val="007D56C8"/>
    <w:rsid w:val="007E3934"/>
    <w:rsid w:val="007E398A"/>
    <w:rsid w:val="007E6A16"/>
    <w:rsid w:val="007E7303"/>
    <w:rsid w:val="007F2E86"/>
    <w:rsid w:val="00801209"/>
    <w:rsid w:val="0081016D"/>
    <w:rsid w:val="008153B6"/>
    <w:rsid w:val="00815CE0"/>
    <w:rsid w:val="008212A0"/>
    <w:rsid w:val="00824B82"/>
    <w:rsid w:val="008344D9"/>
    <w:rsid w:val="00837F53"/>
    <w:rsid w:val="00847165"/>
    <w:rsid w:val="00851BB5"/>
    <w:rsid w:val="00854697"/>
    <w:rsid w:val="00854FB7"/>
    <w:rsid w:val="0086100E"/>
    <w:rsid w:val="00861BD8"/>
    <w:rsid w:val="00862DDC"/>
    <w:rsid w:val="008701A5"/>
    <w:rsid w:val="008710B6"/>
    <w:rsid w:val="0088279C"/>
    <w:rsid w:val="00884D4F"/>
    <w:rsid w:val="00885267"/>
    <w:rsid w:val="00885FB9"/>
    <w:rsid w:val="008870D2"/>
    <w:rsid w:val="008875A1"/>
    <w:rsid w:val="008901A5"/>
    <w:rsid w:val="00891C83"/>
    <w:rsid w:val="008B2BC1"/>
    <w:rsid w:val="008C0102"/>
    <w:rsid w:val="008C18A8"/>
    <w:rsid w:val="008C2064"/>
    <w:rsid w:val="008D13EA"/>
    <w:rsid w:val="008D1750"/>
    <w:rsid w:val="008D360D"/>
    <w:rsid w:val="008D7800"/>
    <w:rsid w:val="008E1A0D"/>
    <w:rsid w:val="008E2910"/>
    <w:rsid w:val="008E4913"/>
    <w:rsid w:val="008F7C07"/>
    <w:rsid w:val="00900464"/>
    <w:rsid w:val="0090100E"/>
    <w:rsid w:val="00903554"/>
    <w:rsid w:val="00904444"/>
    <w:rsid w:val="00907DA2"/>
    <w:rsid w:val="00912904"/>
    <w:rsid w:val="00913271"/>
    <w:rsid w:val="0091365B"/>
    <w:rsid w:val="0092342E"/>
    <w:rsid w:val="009234BE"/>
    <w:rsid w:val="0093520A"/>
    <w:rsid w:val="0093767E"/>
    <w:rsid w:val="00945E64"/>
    <w:rsid w:val="0095027A"/>
    <w:rsid w:val="00956217"/>
    <w:rsid w:val="00962E5F"/>
    <w:rsid w:val="00962EFE"/>
    <w:rsid w:val="009720DB"/>
    <w:rsid w:val="00972A02"/>
    <w:rsid w:val="0097544B"/>
    <w:rsid w:val="0098584B"/>
    <w:rsid w:val="00986E7C"/>
    <w:rsid w:val="0099046B"/>
    <w:rsid w:val="00990882"/>
    <w:rsid w:val="0099152B"/>
    <w:rsid w:val="00993CE9"/>
    <w:rsid w:val="0099517C"/>
    <w:rsid w:val="009A08B6"/>
    <w:rsid w:val="009A0937"/>
    <w:rsid w:val="009A1130"/>
    <w:rsid w:val="009A358A"/>
    <w:rsid w:val="009A3FD7"/>
    <w:rsid w:val="009A7254"/>
    <w:rsid w:val="009B0501"/>
    <w:rsid w:val="009B2ECD"/>
    <w:rsid w:val="009B48A5"/>
    <w:rsid w:val="009B7914"/>
    <w:rsid w:val="009C404E"/>
    <w:rsid w:val="009D12E4"/>
    <w:rsid w:val="009D3AD0"/>
    <w:rsid w:val="009D6017"/>
    <w:rsid w:val="009E1D78"/>
    <w:rsid w:val="009F3328"/>
    <w:rsid w:val="009F430B"/>
    <w:rsid w:val="009F526F"/>
    <w:rsid w:val="00A01C06"/>
    <w:rsid w:val="00A11F98"/>
    <w:rsid w:val="00A12F41"/>
    <w:rsid w:val="00A160B2"/>
    <w:rsid w:val="00A16271"/>
    <w:rsid w:val="00A25024"/>
    <w:rsid w:val="00A33F3F"/>
    <w:rsid w:val="00A41D18"/>
    <w:rsid w:val="00A42101"/>
    <w:rsid w:val="00A566E7"/>
    <w:rsid w:val="00A630BF"/>
    <w:rsid w:val="00A73B25"/>
    <w:rsid w:val="00A868EC"/>
    <w:rsid w:val="00A91A31"/>
    <w:rsid w:val="00A940D3"/>
    <w:rsid w:val="00A96FCA"/>
    <w:rsid w:val="00AA4BE8"/>
    <w:rsid w:val="00AB2A7B"/>
    <w:rsid w:val="00AB3735"/>
    <w:rsid w:val="00AB4C07"/>
    <w:rsid w:val="00AC0AAB"/>
    <w:rsid w:val="00AC3177"/>
    <w:rsid w:val="00AC45DC"/>
    <w:rsid w:val="00AC5427"/>
    <w:rsid w:val="00AC7BA9"/>
    <w:rsid w:val="00AD6C74"/>
    <w:rsid w:val="00AF0969"/>
    <w:rsid w:val="00B0425E"/>
    <w:rsid w:val="00B05A1A"/>
    <w:rsid w:val="00B072FF"/>
    <w:rsid w:val="00B1101C"/>
    <w:rsid w:val="00B1283D"/>
    <w:rsid w:val="00B12BC6"/>
    <w:rsid w:val="00B14D5E"/>
    <w:rsid w:val="00B17701"/>
    <w:rsid w:val="00B20F04"/>
    <w:rsid w:val="00B22AD7"/>
    <w:rsid w:val="00B23ADC"/>
    <w:rsid w:val="00B2616D"/>
    <w:rsid w:val="00B300BD"/>
    <w:rsid w:val="00B32243"/>
    <w:rsid w:val="00B6251F"/>
    <w:rsid w:val="00B630D3"/>
    <w:rsid w:val="00B6652A"/>
    <w:rsid w:val="00B72373"/>
    <w:rsid w:val="00B751B4"/>
    <w:rsid w:val="00B75D60"/>
    <w:rsid w:val="00B810DE"/>
    <w:rsid w:val="00B81EF3"/>
    <w:rsid w:val="00B84372"/>
    <w:rsid w:val="00B87663"/>
    <w:rsid w:val="00B900E2"/>
    <w:rsid w:val="00B909EC"/>
    <w:rsid w:val="00B9118E"/>
    <w:rsid w:val="00B938A7"/>
    <w:rsid w:val="00B963C3"/>
    <w:rsid w:val="00B97ECA"/>
    <w:rsid w:val="00BB519B"/>
    <w:rsid w:val="00BC0D9B"/>
    <w:rsid w:val="00BC2AE2"/>
    <w:rsid w:val="00BC4286"/>
    <w:rsid w:val="00BC6A06"/>
    <w:rsid w:val="00BD4542"/>
    <w:rsid w:val="00BD6115"/>
    <w:rsid w:val="00BD684A"/>
    <w:rsid w:val="00BF089E"/>
    <w:rsid w:val="00BF5871"/>
    <w:rsid w:val="00C061ED"/>
    <w:rsid w:val="00C16F60"/>
    <w:rsid w:val="00C32DAE"/>
    <w:rsid w:val="00C40228"/>
    <w:rsid w:val="00C40E24"/>
    <w:rsid w:val="00C4694A"/>
    <w:rsid w:val="00C549B6"/>
    <w:rsid w:val="00C5772E"/>
    <w:rsid w:val="00C57ABB"/>
    <w:rsid w:val="00C61B80"/>
    <w:rsid w:val="00C66BAC"/>
    <w:rsid w:val="00C7355F"/>
    <w:rsid w:val="00C80184"/>
    <w:rsid w:val="00C84C6F"/>
    <w:rsid w:val="00C86033"/>
    <w:rsid w:val="00C92D9A"/>
    <w:rsid w:val="00C96EF5"/>
    <w:rsid w:val="00CA12F7"/>
    <w:rsid w:val="00CA379B"/>
    <w:rsid w:val="00CB114E"/>
    <w:rsid w:val="00CC02E2"/>
    <w:rsid w:val="00CE53F2"/>
    <w:rsid w:val="00CF72D3"/>
    <w:rsid w:val="00D001C9"/>
    <w:rsid w:val="00D04418"/>
    <w:rsid w:val="00D05CF8"/>
    <w:rsid w:val="00D111E3"/>
    <w:rsid w:val="00D140A8"/>
    <w:rsid w:val="00D15F85"/>
    <w:rsid w:val="00D24A3D"/>
    <w:rsid w:val="00D25064"/>
    <w:rsid w:val="00D32B51"/>
    <w:rsid w:val="00D34668"/>
    <w:rsid w:val="00D3740E"/>
    <w:rsid w:val="00D40335"/>
    <w:rsid w:val="00D42DB5"/>
    <w:rsid w:val="00D44F2B"/>
    <w:rsid w:val="00D458E1"/>
    <w:rsid w:val="00D46231"/>
    <w:rsid w:val="00D46234"/>
    <w:rsid w:val="00D51D5C"/>
    <w:rsid w:val="00D53399"/>
    <w:rsid w:val="00D56573"/>
    <w:rsid w:val="00D571C1"/>
    <w:rsid w:val="00D609F5"/>
    <w:rsid w:val="00D60CA3"/>
    <w:rsid w:val="00D63E23"/>
    <w:rsid w:val="00D82F57"/>
    <w:rsid w:val="00D841A5"/>
    <w:rsid w:val="00D87D2B"/>
    <w:rsid w:val="00D914D2"/>
    <w:rsid w:val="00D9186D"/>
    <w:rsid w:val="00D92D43"/>
    <w:rsid w:val="00DA10A5"/>
    <w:rsid w:val="00DA25DB"/>
    <w:rsid w:val="00DA5A3F"/>
    <w:rsid w:val="00DA65F1"/>
    <w:rsid w:val="00DB077C"/>
    <w:rsid w:val="00DB0791"/>
    <w:rsid w:val="00DB66ED"/>
    <w:rsid w:val="00DC32ED"/>
    <w:rsid w:val="00DD4251"/>
    <w:rsid w:val="00DD4FD7"/>
    <w:rsid w:val="00DD6155"/>
    <w:rsid w:val="00DD633A"/>
    <w:rsid w:val="00DD7DF6"/>
    <w:rsid w:val="00DE0CC4"/>
    <w:rsid w:val="00DE3723"/>
    <w:rsid w:val="00DE60EA"/>
    <w:rsid w:val="00DE6C7E"/>
    <w:rsid w:val="00DF62A8"/>
    <w:rsid w:val="00E02B50"/>
    <w:rsid w:val="00E02B55"/>
    <w:rsid w:val="00E02CEC"/>
    <w:rsid w:val="00E03F11"/>
    <w:rsid w:val="00E06DC8"/>
    <w:rsid w:val="00E220B5"/>
    <w:rsid w:val="00E261E8"/>
    <w:rsid w:val="00E26E4D"/>
    <w:rsid w:val="00E33B36"/>
    <w:rsid w:val="00E33D93"/>
    <w:rsid w:val="00E43812"/>
    <w:rsid w:val="00E5517E"/>
    <w:rsid w:val="00E609EF"/>
    <w:rsid w:val="00E6175C"/>
    <w:rsid w:val="00E72F91"/>
    <w:rsid w:val="00E73215"/>
    <w:rsid w:val="00E7703D"/>
    <w:rsid w:val="00E83EF1"/>
    <w:rsid w:val="00E8515B"/>
    <w:rsid w:val="00E85969"/>
    <w:rsid w:val="00E90AFF"/>
    <w:rsid w:val="00E916D6"/>
    <w:rsid w:val="00EA7386"/>
    <w:rsid w:val="00EB2094"/>
    <w:rsid w:val="00EC6ED5"/>
    <w:rsid w:val="00ED33CA"/>
    <w:rsid w:val="00EE3D74"/>
    <w:rsid w:val="00EF2F91"/>
    <w:rsid w:val="00F04BDB"/>
    <w:rsid w:val="00F05A24"/>
    <w:rsid w:val="00F11982"/>
    <w:rsid w:val="00F15DC3"/>
    <w:rsid w:val="00F1726E"/>
    <w:rsid w:val="00F20071"/>
    <w:rsid w:val="00F22B40"/>
    <w:rsid w:val="00F33EE3"/>
    <w:rsid w:val="00F374CA"/>
    <w:rsid w:val="00F4213B"/>
    <w:rsid w:val="00F43407"/>
    <w:rsid w:val="00F65D6A"/>
    <w:rsid w:val="00F806B8"/>
    <w:rsid w:val="00F847BF"/>
    <w:rsid w:val="00F849ED"/>
    <w:rsid w:val="00F85CB4"/>
    <w:rsid w:val="00F92398"/>
    <w:rsid w:val="00FA04DD"/>
    <w:rsid w:val="00FA375A"/>
    <w:rsid w:val="00FA395F"/>
    <w:rsid w:val="00FA6711"/>
    <w:rsid w:val="00FA69B3"/>
    <w:rsid w:val="00FB1A51"/>
    <w:rsid w:val="00FC7A30"/>
    <w:rsid w:val="00FD022D"/>
    <w:rsid w:val="00FD31A0"/>
    <w:rsid w:val="00FD766C"/>
    <w:rsid w:val="00FE0AE1"/>
    <w:rsid w:val="00FE3EAD"/>
    <w:rsid w:val="00FF649F"/>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uiPriority w:val="9"/>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 w:type="table" w:styleId="TableGrid">
    <w:name w:val="Table Grid"/>
    <w:basedOn w:val="TableNormal"/>
    <w:rsid w:val="0050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B67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69255E"/>
    <w:rPr>
      <w:rFonts w:ascii="Arial" w:eastAsia="Calibri" w:hAnsi="Arial" w:cs="Arial"/>
      <w:color w:val="000000"/>
      <w:sz w:val="22"/>
      <w:szCs w:val="22"/>
    </w:rPr>
  </w:style>
  <w:style w:type="paragraph" w:customStyle="1" w:styleId="Sub1Textlist">
    <w:name w:val="Sub 1 Text list"/>
    <w:basedOn w:val="ListParagraph"/>
    <w:link w:val="Sub1TextlistChar"/>
    <w:qFormat/>
    <w:rsid w:val="00F05A24"/>
    <w:pPr>
      <w:spacing w:after="120"/>
      <w:ind w:left="170" w:hanging="170"/>
      <w:outlineLvl w:val="0"/>
    </w:pPr>
    <w:rPr>
      <w:rFonts w:ascii="Calibri" w:eastAsia="Times New Roman" w:hAnsi="Calibri"/>
      <w:color w:val="auto"/>
      <w:sz w:val="24"/>
      <w:szCs w:val="24"/>
      <w:lang w:eastAsia="en-US"/>
    </w:rPr>
  </w:style>
  <w:style w:type="paragraph" w:customStyle="1" w:styleId="Sub3text">
    <w:name w:val="Sub 3 text"/>
    <w:basedOn w:val="Sub1Textlist"/>
    <w:next w:val="Sub1Textlist"/>
    <w:autoRedefine/>
    <w:qFormat/>
    <w:rsid w:val="00F05A24"/>
    <w:pPr>
      <w:ind w:left="567"/>
    </w:pPr>
    <w:rPr>
      <w:rFonts w:eastAsia="Arial"/>
    </w:rPr>
  </w:style>
  <w:style w:type="character" w:styleId="CommentReference">
    <w:name w:val="annotation reference"/>
    <w:basedOn w:val="DefaultParagraphFont"/>
    <w:semiHidden/>
    <w:unhideWhenUsed/>
    <w:rsid w:val="00990882"/>
    <w:rPr>
      <w:sz w:val="16"/>
      <w:szCs w:val="16"/>
    </w:rPr>
  </w:style>
  <w:style w:type="paragraph" w:styleId="CommentText">
    <w:name w:val="annotation text"/>
    <w:basedOn w:val="Normal"/>
    <w:link w:val="CommentTextChar"/>
    <w:unhideWhenUsed/>
    <w:rsid w:val="00990882"/>
    <w:rPr>
      <w:sz w:val="20"/>
    </w:rPr>
  </w:style>
  <w:style w:type="character" w:customStyle="1" w:styleId="CommentTextChar">
    <w:name w:val="Comment Text Char"/>
    <w:basedOn w:val="DefaultParagraphFont"/>
    <w:link w:val="CommentText"/>
    <w:rsid w:val="00990882"/>
    <w:rPr>
      <w:rFonts w:ascii="Arial" w:hAnsi="Arial"/>
      <w:lang w:eastAsia="en-US"/>
    </w:rPr>
  </w:style>
  <w:style w:type="paragraph" w:styleId="CommentSubject">
    <w:name w:val="annotation subject"/>
    <w:basedOn w:val="CommentText"/>
    <w:next w:val="CommentText"/>
    <w:link w:val="CommentSubjectChar"/>
    <w:semiHidden/>
    <w:unhideWhenUsed/>
    <w:rsid w:val="00990882"/>
    <w:rPr>
      <w:b/>
      <w:bCs/>
    </w:rPr>
  </w:style>
  <w:style w:type="character" w:customStyle="1" w:styleId="CommentSubjectChar">
    <w:name w:val="Comment Subject Char"/>
    <w:basedOn w:val="CommentTextChar"/>
    <w:link w:val="CommentSubject"/>
    <w:semiHidden/>
    <w:rsid w:val="00990882"/>
    <w:rPr>
      <w:rFonts w:ascii="Arial" w:hAnsi="Arial"/>
      <w:b/>
      <w:bCs/>
      <w:lang w:eastAsia="en-US"/>
    </w:rPr>
  </w:style>
  <w:style w:type="character" w:customStyle="1" w:styleId="Sub1TextlistChar">
    <w:name w:val="Sub 1 Text list Char"/>
    <w:basedOn w:val="DefaultParagraphFont"/>
    <w:link w:val="Sub1Textlist"/>
    <w:rsid w:val="0063561E"/>
    <w:rPr>
      <w:rFonts w:ascii="Calibri" w:hAnsi="Calibri" w:cs="Arial"/>
      <w:sz w:val="24"/>
      <w:szCs w:val="24"/>
      <w:lang w:eastAsia="en-US"/>
    </w:rPr>
  </w:style>
  <w:style w:type="paragraph" w:customStyle="1" w:styleId="Default">
    <w:name w:val="Default"/>
    <w:basedOn w:val="Normal"/>
    <w:rsid w:val="00FF649F"/>
    <w:pPr>
      <w:autoSpaceDE w:val="0"/>
      <w:autoSpaceDN w:val="0"/>
    </w:pPr>
    <w:rPr>
      <w:rFonts w:eastAsiaTheme="minorHAnsi" w:cs="Arial"/>
      <w:color w:val="000000"/>
      <w:szCs w:val="24"/>
      <w:lang w:eastAsia="en-GB"/>
    </w:rPr>
  </w:style>
  <w:style w:type="paragraph" w:styleId="Revision">
    <w:name w:val="Revision"/>
    <w:hidden/>
    <w:uiPriority w:val="99"/>
    <w:semiHidden/>
    <w:rsid w:val="0025544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nathan.milbourn@harro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6AA85-BB2F-4C20-ADD5-0C11B3CD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3659</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Arun Birah</cp:lastModifiedBy>
  <cp:revision>5</cp:revision>
  <cp:lastPrinted>2007-07-12T09:53:00Z</cp:lastPrinted>
  <dcterms:created xsi:type="dcterms:W3CDTF">2023-11-20T15:16:00Z</dcterms:created>
  <dcterms:modified xsi:type="dcterms:W3CDTF">2023-11-21T10:05:00Z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